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92" w:rsidRPr="00AF3B92" w:rsidRDefault="00945D4C" w:rsidP="00AF3B92">
      <w:pPr>
        <w:jc w:val="center"/>
        <w:rPr>
          <w:sz w:val="28"/>
        </w:rPr>
      </w:pPr>
      <w:r>
        <w:rPr>
          <w:sz w:val="28"/>
        </w:rPr>
        <w:t>Addendum</w:t>
      </w:r>
      <w:r w:rsidR="00AF3B92" w:rsidRPr="00AF3B92">
        <w:rPr>
          <w:sz w:val="28"/>
        </w:rPr>
        <w:t xml:space="preserve"> 1</w:t>
      </w:r>
    </w:p>
    <w:p w:rsidR="00AF3B92" w:rsidRPr="00AF3B92" w:rsidRDefault="00AF3B92"/>
    <w:p w:rsidR="00AF3B92" w:rsidRPr="00AF3B92" w:rsidRDefault="00AF3B92" w:rsidP="00AF3B92">
      <w:pPr>
        <w:rPr>
          <w:rFonts w:cs="Arial"/>
        </w:rPr>
      </w:pPr>
      <w:r>
        <w:rPr>
          <w:rFonts w:cs="Arial"/>
        </w:rPr>
        <w:t xml:space="preserve">Date: </w:t>
      </w:r>
      <w:r>
        <w:rPr>
          <w:rFonts w:cs="Arial"/>
        </w:rPr>
        <w:tab/>
      </w:r>
      <w:r>
        <w:rPr>
          <w:rFonts w:cs="Arial"/>
        </w:rPr>
        <w:tab/>
      </w:r>
      <w:r w:rsidR="005C00D4">
        <w:rPr>
          <w:rFonts w:cs="Arial"/>
        </w:rPr>
        <w:t>January 27, 2017</w:t>
      </w:r>
      <w:bookmarkStart w:id="0" w:name="_GoBack"/>
      <w:bookmarkEnd w:id="0"/>
    </w:p>
    <w:p w:rsidR="00AF3B92" w:rsidRPr="00AF3B92" w:rsidRDefault="00AF3B92" w:rsidP="00AF3B92">
      <w:pPr>
        <w:rPr>
          <w:rFonts w:cs="Arial"/>
        </w:rPr>
      </w:pPr>
      <w:r>
        <w:rPr>
          <w:rFonts w:cs="Arial"/>
        </w:rPr>
        <w:t xml:space="preserve">Project: </w:t>
      </w:r>
      <w:r>
        <w:rPr>
          <w:rFonts w:cs="Arial"/>
        </w:rPr>
        <w:tab/>
        <w:t>Professional Insurance Brokerage Services</w:t>
      </w:r>
    </w:p>
    <w:p w:rsidR="00AF3B92" w:rsidRPr="00AF3B92" w:rsidRDefault="00AF3B92" w:rsidP="00AF3B92">
      <w:pPr>
        <w:rPr>
          <w:rFonts w:cs="Arial"/>
        </w:rPr>
      </w:pPr>
      <w:r>
        <w:rPr>
          <w:rFonts w:cs="Arial"/>
        </w:rPr>
        <w:t xml:space="preserve">RFP: </w:t>
      </w:r>
      <w:r>
        <w:rPr>
          <w:rFonts w:cs="Arial"/>
        </w:rPr>
        <w:tab/>
      </w:r>
      <w:r>
        <w:rPr>
          <w:rFonts w:cs="Arial"/>
        </w:rPr>
        <w:tab/>
        <w:t>UTP-Insurance Broker</w:t>
      </w:r>
    </w:p>
    <w:p w:rsidR="00AF3B92" w:rsidRPr="00AF3B92" w:rsidRDefault="00AF3B92" w:rsidP="00AF3B92">
      <w:pPr>
        <w:rPr>
          <w:rFonts w:cs="Arial"/>
        </w:rPr>
      </w:pPr>
    </w:p>
    <w:p w:rsidR="00AF3B92" w:rsidRPr="00AF3B92" w:rsidRDefault="00AF3B92" w:rsidP="00AF3B92">
      <w:pPr>
        <w:rPr>
          <w:rFonts w:cs="Arial"/>
        </w:rPr>
      </w:pPr>
      <w:r w:rsidRPr="00AF3B92">
        <w:rPr>
          <w:rFonts w:cs="Arial"/>
        </w:rPr>
        <w:t>To:</w:t>
      </w:r>
      <w:r w:rsidRPr="00AF3B92">
        <w:rPr>
          <w:rFonts w:cs="Arial"/>
        </w:rPr>
        <w:tab/>
      </w:r>
      <w:r w:rsidRPr="00AF3B92">
        <w:rPr>
          <w:rFonts w:cs="Arial"/>
        </w:rPr>
        <w:tab/>
        <w:t>Prospective Proposers</w:t>
      </w:r>
    </w:p>
    <w:p w:rsidR="00AF3B92" w:rsidRDefault="00AF3B92"/>
    <w:p w:rsidR="00AF3B92" w:rsidRDefault="00AF3B92">
      <w:r w:rsidRPr="00AF3B92">
        <w:t xml:space="preserve">This Addendum 1 forms part of and modifies </w:t>
      </w:r>
      <w:r>
        <w:t>the Request for Proposal UTP-Insurance Broker (RFP) issued December 16, 2016</w:t>
      </w:r>
      <w:r w:rsidRPr="00AF3B92">
        <w:t xml:space="preserve"> with amendments and additions noted below.</w:t>
      </w:r>
    </w:p>
    <w:p w:rsidR="00AF3B92" w:rsidRDefault="00AF3B92"/>
    <w:p w:rsidR="00AA0981" w:rsidRPr="005C00D4" w:rsidRDefault="005C00D4" w:rsidP="005C00D4">
      <w:pPr>
        <w:pStyle w:val="ListParagraph"/>
        <w:numPr>
          <w:ilvl w:val="0"/>
          <w:numId w:val="3"/>
        </w:numPr>
      </w:pPr>
      <w:r>
        <w:rPr>
          <w:b/>
        </w:rPr>
        <w:t xml:space="preserve">Section 2.1 Submittal Deadline </w:t>
      </w:r>
    </w:p>
    <w:p w:rsidR="005C00D4" w:rsidRDefault="005C00D4" w:rsidP="005C00D4">
      <w:pPr>
        <w:ind w:left="360"/>
      </w:pPr>
    </w:p>
    <w:p w:rsidR="005C00D4" w:rsidRPr="005C00D4" w:rsidRDefault="005C00D4" w:rsidP="005C00D4">
      <w:pPr>
        <w:ind w:left="360"/>
        <w:rPr>
          <w:i/>
        </w:rPr>
      </w:pPr>
      <w:r>
        <w:rPr>
          <w:i/>
        </w:rPr>
        <w:t>Replace section 2.1 in its entirety with the following.</w:t>
      </w:r>
    </w:p>
    <w:p w:rsidR="005C00D4" w:rsidRDefault="005C00D4" w:rsidP="005C00D4"/>
    <w:p w:rsidR="005C00D4" w:rsidRPr="005C65FC" w:rsidRDefault="005C00D4" w:rsidP="005C00D4">
      <w:pPr>
        <w:pStyle w:val="ListParagraph"/>
        <w:ind w:left="360"/>
        <w:jc w:val="both"/>
      </w:pPr>
      <w:r w:rsidRPr="005C65FC">
        <w:t xml:space="preserve">UT Physicians will accept proposals </w:t>
      </w:r>
      <w:r>
        <w:t xml:space="preserve">until </w:t>
      </w:r>
      <w:r>
        <w:rPr>
          <w:b/>
        </w:rPr>
        <w:t>2:00 PM</w:t>
      </w:r>
      <w:r w:rsidRPr="00795CA8">
        <w:rPr>
          <w:b/>
        </w:rPr>
        <w:t xml:space="preserve"> CST</w:t>
      </w:r>
      <w:r>
        <w:t xml:space="preserve"> on </w:t>
      </w:r>
      <w:r>
        <w:rPr>
          <w:b/>
        </w:rPr>
        <w:t>Wednesday, February 22</w:t>
      </w:r>
      <w:r w:rsidRPr="00795CA8">
        <w:rPr>
          <w:b/>
        </w:rPr>
        <w:t xml:space="preserve">, 2017 </w:t>
      </w:r>
      <w:r w:rsidRPr="005C65FC">
        <w:t>(</w:t>
      </w:r>
      <w:r w:rsidRPr="00795CA8">
        <w:rPr>
          <w:b/>
        </w:rPr>
        <w:t>Submittal Deadline</w:t>
      </w:r>
      <w:r w:rsidRPr="005C65FC">
        <w:t>).</w:t>
      </w:r>
    </w:p>
    <w:p w:rsidR="005C00D4" w:rsidRPr="005C00D4" w:rsidRDefault="005C00D4" w:rsidP="005C00D4"/>
    <w:p w:rsidR="005C00D4" w:rsidRPr="005C00D4" w:rsidRDefault="005C00D4" w:rsidP="005C00D4">
      <w:pPr>
        <w:pStyle w:val="ListParagraph"/>
        <w:numPr>
          <w:ilvl w:val="0"/>
          <w:numId w:val="3"/>
        </w:numPr>
      </w:pPr>
      <w:r>
        <w:rPr>
          <w:b/>
        </w:rPr>
        <w:t>Section 2.4 Key Events Schedule</w:t>
      </w:r>
    </w:p>
    <w:p w:rsidR="005C00D4" w:rsidRDefault="005C00D4" w:rsidP="005C00D4">
      <w:pPr>
        <w:pStyle w:val="ListParagraph"/>
        <w:ind w:left="360"/>
        <w:rPr>
          <w:b/>
        </w:rPr>
      </w:pPr>
    </w:p>
    <w:p w:rsidR="005C00D4" w:rsidRDefault="005C00D4" w:rsidP="005C00D4">
      <w:pPr>
        <w:pStyle w:val="ListParagraph"/>
        <w:ind w:left="360"/>
        <w:rPr>
          <w:i/>
        </w:rPr>
      </w:pPr>
      <w:proofErr w:type="gramStart"/>
      <w:r>
        <w:rPr>
          <w:i/>
        </w:rPr>
        <w:t>Revision of Proposals Due</w:t>
      </w:r>
      <w:r w:rsidR="00AC5C63">
        <w:rPr>
          <w:i/>
        </w:rPr>
        <w:t>.</w:t>
      </w:r>
      <w:proofErr w:type="gramEnd"/>
    </w:p>
    <w:p w:rsidR="00AC5C63" w:rsidRDefault="00AC5C63" w:rsidP="005C00D4">
      <w:pPr>
        <w:pStyle w:val="ListParagraph"/>
        <w:ind w:left="360"/>
        <w:rPr>
          <w:i/>
        </w:rPr>
      </w:pPr>
    </w:p>
    <w:tbl>
      <w:tblPr>
        <w:tblStyle w:val="TableGrid"/>
        <w:tblW w:w="0" w:type="auto"/>
        <w:tblInd w:w="675" w:type="dxa"/>
        <w:tblLook w:val="04A0" w:firstRow="1" w:lastRow="0" w:firstColumn="1" w:lastColumn="0" w:noHBand="0" w:noVBand="1"/>
      </w:tblPr>
      <w:tblGrid>
        <w:gridCol w:w="2907"/>
        <w:gridCol w:w="3996"/>
      </w:tblGrid>
      <w:tr w:rsidR="00AC5C63" w:rsidRPr="00B63332" w:rsidTr="00C84E82">
        <w:trPr>
          <w:trHeight w:val="360"/>
        </w:trPr>
        <w:tc>
          <w:tcPr>
            <w:tcW w:w="2907" w:type="dxa"/>
            <w:vAlign w:val="center"/>
          </w:tcPr>
          <w:p w:rsidR="00AC5C63" w:rsidRPr="005C65FC" w:rsidRDefault="00AC5C63" w:rsidP="00C84E82">
            <w:r w:rsidRPr="005C65FC">
              <w:t>Proposals Due</w:t>
            </w:r>
          </w:p>
        </w:tc>
        <w:tc>
          <w:tcPr>
            <w:tcW w:w="3996" w:type="dxa"/>
            <w:vAlign w:val="center"/>
          </w:tcPr>
          <w:p w:rsidR="00AC5C63" w:rsidRPr="005C65FC" w:rsidRDefault="00AC5C63" w:rsidP="00C84E82">
            <w:r>
              <w:t>February 22</w:t>
            </w:r>
            <w:r w:rsidRPr="005C65FC">
              <w:t>, 2017</w:t>
            </w:r>
            <w:r>
              <w:t xml:space="preserve">    2:00 PM</w:t>
            </w:r>
            <w:r w:rsidRPr="005C65FC">
              <w:t xml:space="preserve"> CST</w:t>
            </w:r>
          </w:p>
        </w:tc>
      </w:tr>
    </w:tbl>
    <w:p w:rsidR="00AA0981" w:rsidRDefault="00AA0981"/>
    <w:p w:rsidR="00AF3B92" w:rsidRPr="00AC5C63" w:rsidRDefault="00AC5C63" w:rsidP="00AC5C63">
      <w:pPr>
        <w:pStyle w:val="ListParagraph"/>
        <w:numPr>
          <w:ilvl w:val="0"/>
          <w:numId w:val="3"/>
        </w:numPr>
        <w:rPr>
          <w:b/>
        </w:rPr>
      </w:pPr>
      <w:r>
        <w:rPr>
          <w:b/>
        </w:rPr>
        <w:t>Questions &amp; Answers</w:t>
      </w:r>
    </w:p>
    <w:p w:rsidR="00AC5C63" w:rsidRDefault="00AC5C63"/>
    <w:p w:rsidR="00C35972" w:rsidRDefault="00AC5C63" w:rsidP="00AC5C63">
      <w:pPr>
        <w:pStyle w:val="ListParagraph"/>
        <w:ind w:left="360"/>
      </w:pPr>
      <w:r w:rsidRPr="00AC5C63">
        <w:rPr>
          <w:b/>
          <w:u w:val="single"/>
        </w:rPr>
        <w:t>Question#1:</w:t>
      </w:r>
      <w:r>
        <w:t xml:space="preserve"> </w:t>
      </w:r>
      <w:r w:rsidR="00AF3B92" w:rsidRPr="00AF3B92">
        <w:t>On the proposed pricing element of our response, is UT Physicians requesting that we provide actual premium indications/quotes for the renewal of the insurance policies, or proposals for the cost of the brokerage services with the policy premiums to be negotiated once the brokerage services contract is awarded?</w:t>
      </w:r>
    </w:p>
    <w:p w:rsidR="001C7A20" w:rsidRDefault="001C7A20" w:rsidP="001C7A20">
      <w:pPr>
        <w:pStyle w:val="ListParagraph"/>
        <w:ind w:left="360"/>
      </w:pPr>
    </w:p>
    <w:p w:rsidR="001C7A20" w:rsidRPr="00523609" w:rsidRDefault="001C7A20" w:rsidP="001C7A20">
      <w:pPr>
        <w:pStyle w:val="ListParagraph"/>
        <w:ind w:left="360"/>
        <w:rPr>
          <w:color w:val="0000FF"/>
        </w:rPr>
      </w:pPr>
      <w:r w:rsidRPr="00AC5C63">
        <w:rPr>
          <w:b/>
          <w:color w:val="0000FF"/>
          <w:u w:val="single"/>
        </w:rPr>
        <w:t>Answer</w:t>
      </w:r>
      <w:r w:rsidR="00AC5C63" w:rsidRPr="00AC5C63">
        <w:rPr>
          <w:b/>
          <w:color w:val="0000FF"/>
          <w:u w:val="single"/>
        </w:rPr>
        <w:t xml:space="preserve"> #1</w:t>
      </w:r>
      <w:r w:rsidRPr="00AC5C63">
        <w:rPr>
          <w:b/>
          <w:color w:val="0000FF"/>
          <w:u w:val="single"/>
        </w:rPr>
        <w:t>:</w:t>
      </w:r>
      <w:r w:rsidRPr="005B501F">
        <w:rPr>
          <w:b/>
          <w:color w:val="0000FF"/>
        </w:rPr>
        <w:t xml:space="preserve"> </w:t>
      </w:r>
      <w:r w:rsidRPr="00523609">
        <w:rPr>
          <w:color w:val="0000FF"/>
        </w:rPr>
        <w:t>Please provide the brokerage services fee for all five years and the annual premium</w:t>
      </w:r>
      <w:r w:rsidR="001A5A18" w:rsidRPr="00523609">
        <w:rPr>
          <w:color w:val="0000FF"/>
        </w:rPr>
        <w:t>s</w:t>
      </w:r>
      <w:r w:rsidRPr="00523609">
        <w:rPr>
          <w:color w:val="0000FF"/>
        </w:rPr>
        <w:t xml:space="preserve"> for the first year.</w:t>
      </w:r>
    </w:p>
    <w:p w:rsidR="001C7A20" w:rsidRDefault="001C7A20" w:rsidP="001C7A20">
      <w:pPr>
        <w:pStyle w:val="ListParagraph"/>
        <w:ind w:left="360"/>
      </w:pPr>
    </w:p>
    <w:p w:rsidR="001C7A20" w:rsidRDefault="00AC5C63" w:rsidP="00AC5C63">
      <w:pPr>
        <w:pStyle w:val="ListParagraph"/>
        <w:ind w:left="360"/>
      </w:pPr>
      <w:r w:rsidRPr="00AC5C63">
        <w:rPr>
          <w:b/>
          <w:u w:val="single"/>
        </w:rPr>
        <w:t>Question #2:</w:t>
      </w:r>
      <w:r>
        <w:rPr>
          <w:b/>
        </w:rPr>
        <w:t xml:space="preserve"> </w:t>
      </w:r>
      <w:r w:rsidR="001C7A20">
        <w:t>The introduction sections 1.1 and 1.2 detail that UTP operates the clinic practice with roughly 100 clinics in the Greater Houston area. It also states there are roughly 500K patient visits in the clinics and over 1.6M patient encounters across 22 departments. I presume that the 1.6M patient encounters are associated with the Medical School? Is there a bit more detail you can provide as to how these two metrics are distributed and how an encounter is defined relative to a visit?</w:t>
      </w:r>
    </w:p>
    <w:p w:rsidR="001C7A20" w:rsidRDefault="001C7A20" w:rsidP="001C7A20"/>
    <w:p w:rsidR="000E6156" w:rsidRPr="00523609" w:rsidRDefault="008B5A17" w:rsidP="000E6156">
      <w:pPr>
        <w:ind w:left="360"/>
        <w:rPr>
          <w:color w:val="0000FF"/>
        </w:rPr>
      </w:pPr>
      <w:r w:rsidRPr="00AC5C63">
        <w:rPr>
          <w:b/>
          <w:color w:val="0000FF"/>
          <w:u w:val="single"/>
        </w:rPr>
        <w:t>Answer</w:t>
      </w:r>
      <w:r w:rsidR="00AC5C63" w:rsidRPr="00AC5C63">
        <w:rPr>
          <w:b/>
          <w:color w:val="0000FF"/>
          <w:u w:val="single"/>
        </w:rPr>
        <w:t xml:space="preserve"> #2</w:t>
      </w:r>
      <w:r w:rsidRPr="00AC5C63">
        <w:rPr>
          <w:b/>
          <w:color w:val="0000FF"/>
          <w:u w:val="single"/>
        </w:rPr>
        <w:t>:</w:t>
      </w:r>
      <w:r w:rsidRPr="005B501F">
        <w:rPr>
          <w:b/>
          <w:color w:val="0000FF"/>
        </w:rPr>
        <w:t xml:space="preserve"> </w:t>
      </w:r>
      <w:r w:rsidR="000E6156" w:rsidRPr="00523609">
        <w:rPr>
          <w:color w:val="0000FF"/>
        </w:rPr>
        <w:t>We had total of 836,545 arrived patients in our clinics (MSRDP only) for FY16.  Total clinical invoice count for FY16 was 952,176 for MSRDP and 458,569 for HCHD.  Total practice clinical invoice count was 1,410,745.</w:t>
      </w:r>
    </w:p>
    <w:p w:rsidR="000E6156" w:rsidRPr="00523609" w:rsidRDefault="000E6156" w:rsidP="000E6156">
      <w:pPr>
        <w:ind w:left="360"/>
        <w:rPr>
          <w:color w:val="0000FF"/>
        </w:rPr>
      </w:pPr>
    </w:p>
    <w:p w:rsidR="000E6156" w:rsidRPr="00523609" w:rsidRDefault="000E6156" w:rsidP="000E6156">
      <w:pPr>
        <w:ind w:left="360"/>
        <w:rPr>
          <w:color w:val="0000FF"/>
        </w:rPr>
      </w:pPr>
      <w:r w:rsidRPr="00523609">
        <w:rPr>
          <w:color w:val="0000FF"/>
        </w:rPr>
        <w:t>Definition of Arrived patient is when a patient is actually seen in our clinic by a provider.  Each visit is counted only once.  The invoice count is when an invoice is generated for services provided to a patient.  Invoice count will generally be higher than a visit count because in some cases more than 1 invoice may</w:t>
      </w:r>
      <w:r w:rsidR="00195303" w:rsidRPr="00523609">
        <w:rPr>
          <w:color w:val="0000FF"/>
        </w:rPr>
        <w:t xml:space="preserve"> </w:t>
      </w:r>
      <w:r w:rsidRPr="00523609">
        <w:rPr>
          <w:color w:val="0000FF"/>
        </w:rPr>
        <w:t xml:space="preserve">be generated during the visit.   </w:t>
      </w:r>
    </w:p>
    <w:p w:rsidR="00A260C5" w:rsidRPr="00523609" w:rsidRDefault="00A260C5" w:rsidP="000E6156">
      <w:pPr>
        <w:ind w:left="360"/>
        <w:rPr>
          <w:color w:val="0000FF"/>
        </w:rPr>
      </w:pPr>
    </w:p>
    <w:p w:rsidR="00A260C5" w:rsidRPr="00523609" w:rsidRDefault="00A260C5" w:rsidP="000E6156">
      <w:pPr>
        <w:ind w:left="360"/>
        <w:rPr>
          <w:color w:val="0000FF"/>
        </w:rPr>
      </w:pPr>
      <w:r w:rsidRPr="00523609">
        <w:rPr>
          <w:color w:val="0000FF"/>
        </w:rPr>
        <w:t>MSRDP refers to Medical Service Research and Development Plan</w:t>
      </w:r>
    </w:p>
    <w:p w:rsidR="00A260C5" w:rsidRPr="00523609" w:rsidRDefault="00A260C5" w:rsidP="000E6156">
      <w:pPr>
        <w:ind w:left="360"/>
        <w:rPr>
          <w:color w:val="0000FF"/>
        </w:rPr>
      </w:pPr>
      <w:r w:rsidRPr="00523609">
        <w:rPr>
          <w:color w:val="0000FF"/>
        </w:rPr>
        <w:t>HCHD refers to Harris County Hospital District</w:t>
      </w:r>
    </w:p>
    <w:p w:rsidR="001C7A20" w:rsidRDefault="001C7A20" w:rsidP="000E6156">
      <w:pPr>
        <w:ind w:left="360"/>
      </w:pPr>
      <w:r>
        <w:t xml:space="preserve"> </w:t>
      </w:r>
    </w:p>
    <w:p w:rsidR="001C7A20" w:rsidRDefault="00523609" w:rsidP="00AC5C63">
      <w:pPr>
        <w:pStyle w:val="ListParagraph"/>
        <w:ind w:left="360"/>
      </w:pPr>
      <w:r>
        <w:rPr>
          <w:b/>
          <w:u w:val="single"/>
        </w:rPr>
        <w:t>Question #3:</w:t>
      </w:r>
      <w:r>
        <w:rPr>
          <w:b/>
        </w:rPr>
        <w:t xml:space="preserve"> </w:t>
      </w:r>
      <w:r w:rsidR="001C7A20">
        <w:t>In respects of any form of sovereign immunity, does UTP benefit from statutory protection and to what limit? We presume this is the rationale as to why no umbrella or excess limits are purchased.</w:t>
      </w:r>
    </w:p>
    <w:p w:rsidR="001C7A20" w:rsidRDefault="001C7A20" w:rsidP="001C7A20">
      <w:pPr>
        <w:pStyle w:val="ListParagraph"/>
        <w:ind w:left="360"/>
      </w:pPr>
    </w:p>
    <w:p w:rsidR="001C7A20" w:rsidRPr="001A5A18" w:rsidRDefault="00AC5C63" w:rsidP="001C7A20">
      <w:pPr>
        <w:pStyle w:val="ListParagraph"/>
        <w:ind w:left="360"/>
        <w:rPr>
          <w:b/>
          <w:color w:val="0000FF"/>
        </w:rPr>
      </w:pPr>
      <w:r>
        <w:rPr>
          <w:b/>
          <w:color w:val="0000FF"/>
          <w:u w:val="single"/>
        </w:rPr>
        <w:t>Answer #3</w:t>
      </w:r>
      <w:r w:rsidR="001C7A20" w:rsidRPr="001A5A18">
        <w:rPr>
          <w:b/>
          <w:color w:val="0000FF"/>
        </w:rPr>
        <w:t xml:space="preserve">: </w:t>
      </w:r>
      <w:r w:rsidR="001A5A18" w:rsidRPr="00523609">
        <w:rPr>
          <w:color w:val="0000FF"/>
        </w:rPr>
        <w:t>Based on a business review and prior claims history, UT Physicians has made the business decision that no umbrella coverage or excess coverage limits are required.</w:t>
      </w:r>
    </w:p>
    <w:p w:rsidR="001C7A20" w:rsidRDefault="001C7A20" w:rsidP="001C7A20">
      <w:pPr>
        <w:pStyle w:val="ListParagraph"/>
        <w:ind w:left="360"/>
      </w:pPr>
    </w:p>
    <w:p w:rsidR="001C7A20" w:rsidRDefault="00523609" w:rsidP="00AC5C63">
      <w:pPr>
        <w:pStyle w:val="ListParagraph"/>
        <w:ind w:left="360"/>
      </w:pPr>
      <w:r>
        <w:rPr>
          <w:b/>
          <w:u w:val="single"/>
        </w:rPr>
        <w:t>Question #4:</w:t>
      </w:r>
      <w:r>
        <w:rPr>
          <w:b/>
        </w:rPr>
        <w:t xml:space="preserve"> </w:t>
      </w:r>
      <w:r w:rsidR="001C7A20">
        <w:t>Do the physicians within the multi-specialty group carry their own limits? If so, do they carry a uniform limit?  Do you have a listing of these physicians by specialty?</w:t>
      </w:r>
    </w:p>
    <w:p w:rsidR="001C7A20" w:rsidRDefault="001C7A20" w:rsidP="001C7A20"/>
    <w:p w:rsidR="001C7A20" w:rsidRPr="005B501F" w:rsidRDefault="00AC5C63" w:rsidP="001C7A20">
      <w:pPr>
        <w:ind w:left="360"/>
        <w:rPr>
          <w:b/>
          <w:color w:val="0000FF"/>
        </w:rPr>
      </w:pPr>
      <w:r>
        <w:rPr>
          <w:b/>
          <w:color w:val="0000FF"/>
          <w:u w:val="single"/>
        </w:rPr>
        <w:t>Answer #4</w:t>
      </w:r>
      <w:r w:rsidR="00A038AA" w:rsidRPr="005B501F">
        <w:rPr>
          <w:b/>
          <w:color w:val="0000FF"/>
        </w:rPr>
        <w:t>:</w:t>
      </w:r>
      <w:r w:rsidR="00F06614" w:rsidRPr="005B501F">
        <w:rPr>
          <w:b/>
          <w:color w:val="0000FF"/>
        </w:rPr>
        <w:t xml:space="preserve"> </w:t>
      </w:r>
      <w:r w:rsidR="00F06614" w:rsidRPr="00523609">
        <w:rPr>
          <w:color w:val="0000FF"/>
        </w:rPr>
        <w:t>The professional liability insurance for the physicians themselves is under UTHealth/UT System since the physicians are UTHealth employees.</w:t>
      </w:r>
    </w:p>
    <w:p w:rsidR="001C7A20" w:rsidRDefault="001C7A20" w:rsidP="001C7A20">
      <w:pPr>
        <w:pStyle w:val="ListParagraph"/>
        <w:ind w:left="360"/>
      </w:pPr>
    </w:p>
    <w:p w:rsidR="001C7A20" w:rsidRDefault="00523609" w:rsidP="00AC5C63">
      <w:pPr>
        <w:pStyle w:val="ListParagraph"/>
        <w:ind w:left="360"/>
      </w:pPr>
      <w:r>
        <w:rPr>
          <w:b/>
          <w:u w:val="single"/>
        </w:rPr>
        <w:t>Question #5:</w:t>
      </w:r>
      <w:r>
        <w:rPr>
          <w:b/>
        </w:rPr>
        <w:t xml:space="preserve"> </w:t>
      </w:r>
      <w:r w:rsidR="001C7A20">
        <w:t xml:space="preserve">Can you provide us with loss experience/history by line of business? </w:t>
      </w:r>
    </w:p>
    <w:p w:rsidR="00A038AA" w:rsidRDefault="00A038AA" w:rsidP="00A038AA"/>
    <w:p w:rsidR="00EF770E" w:rsidRPr="005B501F" w:rsidRDefault="00AC5C63" w:rsidP="00EF770E">
      <w:pPr>
        <w:ind w:left="360"/>
        <w:rPr>
          <w:b/>
          <w:color w:val="0000FF"/>
        </w:rPr>
      </w:pPr>
      <w:r>
        <w:rPr>
          <w:b/>
          <w:color w:val="0000FF"/>
          <w:u w:val="single"/>
        </w:rPr>
        <w:t>Answer #5</w:t>
      </w:r>
      <w:r w:rsidR="00EF770E" w:rsidRPr="005B501F">
        <w:rPr>
          <w:b/>
          <w:color w:val="0000FF"/>
        </w:rPr>
        <w:t xml:space="preserve">: </w:t>
      </w:r>
      <w:r w:rsidR="00EF770E" w:rsidRPr="0014738A">
        <w:rPr>
          <w:color w:val="0000FF"/>
        </w:rPr>
        <w:t>Please see</w:t>
      </w:r>
      <w:r w:rsidR="00B56BFD" w:rsidRPr="0014738A">
        <w:rPr>
          <w:color w:val="0000FF"/>
        </w:rPr>
        <w:t xml:space="preserve"> </w:t>
      </w:r>
      <w:r w:rsidR="00893438" w:rsidRPr="0014738A">
        <w:rPr>
          <w:color w:val="0000FF"/>
        </w:rPr>
        <w:t>Exhibit</w:t>
      </w:r>
      <w:r w:rsidR="00B56BFD" w:rsidRPr="0014738A">
        <w:rPr>
          <w:color w:val="0000FF"/>
        </w:rPr>
        <w:t xml:space="preserve"> 1</w:t>
      </w:r>
      <w:r w:rsidR="0026298D" w:rsidRPr="0014738A">
        <w:rPr>
          <w:color w:val="0000FF"/>
        </w:rPr>
        <w:t>.</w:t>
      </w:r>
    </w:p>
    <w:p w:rsidR="00860A6F" w:rsidRDefault="00860A6F" w:rsidP="001C7A20"/>
    <w:p w:rsidR="00860A6F" w:rsidRDefault="00523609" w:rsidP="00AC5C63">
      <w:pPr>
        <w:pStyle w:val="ListParagraph"/>
        <w:ind w:left="360"/>
      </w:pPr>
      <w:r>
        <w:rPr>
          <w:b/>
          <w:u w:val="single"/>
        </w:rPr>
        <w:t>Question #6:</w:t>
      </w:r>
      <w:r>
        <w:rPr>
          <w:b/>
        </w:rPr>
        <w:t xml:space="preserve"> </w:t>
      </w:r>
      <w:r w:rsidR="00860A6F" w:rsidRPr="00860A6F">
        <w:t>Please confirm that UTP is requiring firm insurance quotes with pricing for each policy on Feb 10th.</w:t>
      </w:r>
    </w:p>
    <w:p w:rsidR="00860A6F" w:rsidRDefault="00860A6F" w:rsidP="00860A6F"/>
    <w:p w:rsidR="00860A6F" w:rsidRPr="0014738A" w:rsidRDefault="00AC5C63" w:rsidP="00AC5C63">
      <w:pPr>
        <w:ind w:firstLine="360"/>
        <w:rPr>
          <w:color w:val="0000FF"/>
        </w:rPr>
      </w:pPr>
      <w:r>
        <w:rPr>
          <w:b/>
          <w:color w:val="0000FF"/>
          <w:u w:val="single"/>
        </w:rPr>
        <w:t>Answer #6:</w:t>
      </w:r>
      <w:r w:rsidR="00860A6F" w:rsidRPr="005B501F">
        <w:rPr>
          <w:b/>
          <w:color w:val="0000FF"/>
        </w:rPr>
        <w:t xml:space="preserve"> </w:t>
      </w:r>
      <w:r w:rsidR="001C4A71">
        <w:rPr>
          <w:color w:val="0000FF"/>
        </w:rPr>
        <w:t xml:space="preserve"> No, the proposals are now due February 22, 2017. Please see #1</w:t>
      </w:r>
    </w:p>
    <w:p w:rsidR="00860A6F" w:rsidRPr="00860A6F" w:rsidRDefault="00860A6F" w:rsidP="00860A6F"/>
    <w:p w:rsidR="00860A6F" w:rsidRDefault="00523609" w:rsidP="00AC5C63">
      <w:pPr>
        <w:pStyle w:val="ListParagraph"/>
        <w:ind w:left="360"/>
      </w:pPr>
      <w:r>
        <w:rPr>
          <w:b/>
          <w:u w:val="single"/>
        </w:rPr>
        <w:t>Question #7:</w:t>
      </w:r>
      <w:r>
        <w:rPr>
          <w:b/>
        </w:rPr>
        <w:t xml:space="preserve"> </w:t>
      </w:r>
      <w:r w:rsidR="00860A6F" w:rsidRPr="00860A6F">
        <w:t>Please send at least 3 years of loss runs for each insurance policy.  We will need 5 years of loss runs for the professional liability.</w:t>
      </w:r>
    </w:p>
    <w:p w:rsidR="00860A6F" w:rsidRDefault="00860A6F" w:rsidP="00860A6F"/>
    <w:p w:rsidR="00EF770E" w:rsidRPr="005B501F" w:rsidRDefault="00AC5C63" w:rsidP="00EF770E">
      <w:pPr>
        <w:ind w:left="360"/>
        <w:rPr>
          <w:b/>
          <w:color w:val="0000FF"/>
        </w:rPr>
      </w:pPr>
      <w:r>
        <w:rPr>
          <w:b/>
          <w:color w:val="0000FF"/>
          <w:u w:val="single"/>
        </w:rPr>
        <w:t>Answer #7:</w:t>
      </w:r>
      <w:r w:rsidR="00EF770E" w:rsidRPr="005B501F">
        <w:rPr>
          <w:b/>
          <w:color w:val="0000FF"/>
        </w:rPr>
        <w:t xml:space="preserve"> </w:t>
      </w:r>
      <w:r w:rsidR="00EF770E" w:rsidRPr="0014738A">
        <w:rPr>
          <w:color w:val="0000FF"/>
        </w:rPr>
        <w:t>Please see</w:t>
      </w:r>
      <w:r w:rsidR="00B56BFD" w:rsidRPr="0014738A">
        <w:rPr>
          <w:color w:val="0000FF"/>
        </w:rPr>
        <w:t xml:space="preserve"> </w:t>
      </w:r>
      <w:r w:rsidR="00893438" w:rsidRPr="0014738A">
        <w:rPr>
          <w:color w:val="0000FF"/>
        </w:rPr>
        <w:t>Exhibit</w:t>
      </w:r>
      <w:r w:rsidR="00B56BFD" w:rsidRPr="0014738A">
        <w:rPr>
          <w:color w:val="0000FF"/>
        </w:rPr>
        <w:t xml:space="preserve"> 1.</w:t>
      </w:r>
    </w:p>
    <w:p w:rsidR="00860A6F" w:rsidRPr="00860A6F" w:rsidRDefault="00860A6F" w:rsidP="00860A6F"/>
    <w:p w:rsidR="00860A6F" w:rsidRDefault="00523609" w:rsidP="00AC5C63">
      <w:pPr>
        <w:pStyle w:val="ListParagraph"/>
        <w:ind w:left="360"/>
      </w:pPr>
      <w:r>
        <w:rPr>
          <w:b/>
          <w:u w:val="single"/>
        </w:rPr>
        <w:t>Question #8:</w:t>
      </w:r>
      <w:r>
        <w:rPr>
          <w:b/>
        </w:rPr>
        <w:t xml:space="preserve"> </w:t>
      </w:r>
      <w:r w:rsidR="000F1DAC" w:rsidRPr="000F1DAC">
        <w:t>Please provide a detailed description of each loss over $25,000.  Please include any preventative measures that have been put in place since each loss.</w:t>
      </w:r>
    </w:p>
    <w:p w:rsidR="000F1DAC" w:rsidRDefault="000F1DAC" w:rsidP="000F1DAC"/>
    <w:p w:rsidR="0018107D" w:rsidRPr="0014738A" w:rsidRDefault="00AC5C63" w:rsidP="0018107D">
      <w:pPr>
        <w:ind w:left="360"/>
        <w:rPr>
          <w:color w:val="0000FF"/>
        </w:rPr>
      </w:pPr>
      <w:r>
        <w:rPr>
          <w:b/>
          <w:color w:val="0000FF"/>
          <w:u w:val="single"/>
        </w:rPr>
        <w:t>Answer #8:</w:t>
      </w:r>
      <w:r w:rsidR="000F1DAC" w:rsidRPr="005B501F">
        <w:rPr>
          <w:b/>
          <w:color w:val="0000FF"/>
        </w:rPr>
        <w:t xml:space="preserve"> </w:t>
      </w:r>
      <w:r w:rsidR="00E44742" w:rsidRPr="005B501F">
        <w:rPr>
          <w:b/>
          <w:color w:val="0000FF"/>
        </w:rPr>
        <w:t xml:space="preserve"> </w:t>
      </w:r>
      <w:r w:rsidRPr="0014738A">
        <w:rPr>
          <w:color w:val="0000FF"/>
        </w:rPr>
        <w:t>Please see Exhibit 1</w:t>
      </w:r>
      <w:r w:rsidR="0018107D" w:rsidRPr="0014738A">
        <w:rPr>
          <w:color w:val="0000FF"/>
        </w:rPr>
        <w:t xml:space="preserve"> for Claim Su</w:t>
      </w:r>
      <w:r w:rsidRPr="0014738A">
        <w:rPr>
          <w:color w:val="0000FF"/>
        </w:rPr>
        <w:t>mmary. Please see Exhibit 13&amp;16</w:t>
      </w:r>
      <w:r w:rsidR="0018107D" w:rsidRPr="0014738A">
        <w:rPr>
          <w:color w:val="0000FF"/>
        </w:rPr>
        <w:t xml:space="preserve"> for details regarding preventative measures summarized below.</w:t>
      </w:r>
    </w:p>
    <w:p w:rsidR="0018107D" w:rsidRPr="0014738A" w:rsidRDefault="0018107D" w:rsidP="0018107D">
      <w:pPr>
        <w:ind w:left="360"/>
        <w:rPr>
          <w:color w:val="0000FF"/>
        </w:rPr>
      </w:pPr>
    </w:p>
    <w:p w:rsidR="00A260C5" w:rsidRPr="0014738A" w:rsidRDefault="00A260C5" w:rsidP="0018107D">
      <w:pPr>
        <w:ind w:left="360"/>
        <w:rPr>
          <w:color w:val="0000FF"/>
        </w:rPr>
      </w:pPr>
      <w:r w:rsidRPr="0014738A">
        <w:rPr>
          <w:color w:val="0000FF"/>
        </w:rPr>
        <w:t>In summary, each clinic receives the following:</w:t>
      </w:r>
    </w:p>
    <w:p w:rsidR="0018107D" w:rsidRPr="0014738A" w:rsidRDefault="0018107D" w:rsidP="0018107D">
      <w:pPr>
        <w:pStyle w:val="ListParagraph"/>
        <w:numPr>
          <w:ilvl w:val="0"/>
          <w:numId w:val="2"/>
        </w:numPr>
        <w:rPr>
          <w:color w:val="0000FF"/>
        </w:rPr>
      </w:pPr>
      <w:r w:rsidRPr="0014738A">
        <w:rPr>
          <w:color w:val="0000FF"/>
        </w:rPr>
        <w:t>Three inspections by UTHSC safety analyst</w:t>
      </w:r>
    </w:p>
    <w:p w:rsidR="0018107D" w:rsidRPr="0014738A" w:rsidRDefault="0018107D" w:rsidP="0018107D">
      <w:pPr>
        <w:pStyle w:val="ListParagraph"/>
        <w:numPr>
          <w:ilvl w:val="1"/>
          <w:numId w:val="2"/>
        </w:numPr>
        <w:rPr>
          <w:color w:val="0000FF"/>
        </w:rPr>
      </w:pPr>
      <w:r w:rsidRPr="0014738A">
        <w:rPr>
          <w:color w:val="0000FF"/>
        </w:rPr>
        <w:t>Two by either Radiation, Chemical or Biological Safety Departments</w:t>
      </w:r>
    </w:p>
    <w:p w:rsidR="0018107D" w:rsidRPr="0014738A" w:rsidRDefault="0018107D" w:rsidP="0018107D">
      <w:pPr>
        <w:pStyle w:val="ListParagraph"/>
        <w:numPr>
          <w:ilvl w:val="1"/>
          <w:numId w:val="2"/>
        </w:numPr>
        <w:rPr>
          <w:color w:val="0000FF"/>
        </w:rPr>
      </w:pPr>
      <w:r w:rsidRPr="0014738A">
        <w:rPr>
          <w:color w:val="0000FF"/>
        </w:rPr>
        <w:t>One by Occupational, Safety and Fire Prevention</w:t>
      </w:r>
    </w:p>
    <w:p w:rsidR="00A260C5" w:rsidRPr="0014738A" w:rsidRDefault="0018107D" w:rsidP="00A260C5">
      <w:pPr>
        <w:pStyle w:val="ListParagraph"/>
        <w:numPr>
          <w:ilvl w:val="0"/>
          <w:numId w:val="2"/>
        </w:numPr>
        <w:rPr>
          <w:color w:val="0000FF"/>
        </w:rPr>
      </w:pPr>
      <w:r w:rsidRPr="0014738A">
        <w:rPr>
          <w:color w:val="0000FF"/>
        </w:rPr>
        <w:t>One Loss Prevention assessment approximately every two years</w:t>
      </w:r>
    </w:p>
    <w:p w:rsidR="000F1DAC" w:rsidRDefault="000F1DAC" w:rsidP="000F1DAC"/>
    <w:p w:rsidR="000F1DAC" w:rsidRDefault="00523609" w:rsidP="00AC5C63">
      <w:pPr>
        <w:pStyle w:val="ListParagraph"/>
        <w:ind w:left="360"/>
      </w:pPr>
      <w:r>
        <w:rPr>
          <w:b/>
          <w:u w:val="single"/>
        </w:rPr>
        <w:t>Question#9:</w:t>
      </w:r>
      <w:r>
        <w:rPr>
          <w:b/>
        </w:rPr>
        <w:t xml:space="preserve"> </w:t>
      </w:r>
      <w:r w:rsidR="000F1DAC" w:rsidRPr="000F1DAC">
        <w:t>Please provide copies of all current policies.  If UTP is not willing to provide the policies, please provide the declarations page, list of insureds, rating pages and the forms list for each policy.</w:t>
      </w:r>
    </w:p>
    <w:p w:rsidR="000F1DAC" w:rsidRDefault="000F1DAC" w:rsidP="000F1DAC"/>
    <w:p w:rsidR="000F1DAC" w:rsidRPr="005B501F" w:rsidRDefault="00AC5C63" w:rsidP="000F1DAC">
      <w:pPr>
        <w:ind w:left="360"/>
        <w:rPr>
          <w:b/>
          <w:color w:val="0000FF"/>
        </w:rPr>
      </w:pPr>
      <w:r>
        <w:rPr>
          <w:b/>
          <w:color w:val="0000FF"/>
          <w:u w:val="single"/>
        </w:rPr>
        <w:t>Answer #9:</w:t>
      </w:r>
      <w:r w:rsidR="005C096B" w:rsidRPr="005B501F">
        <w:rPr>
          <w:b/>
          <w:color w:val="0000FF"/>
        </w:rPr>
        <w:t xml:space="preserve"> </w:t>
      </w:r>
      <w:r w:rsidR="005C096B" w:rsidRPr="0014738A">
        <w:rPr>
          <w:color w:val="0000FF"/>
        </w:rPr>
        <w:t>Please</w:t>
      </w:r>
      <w:r w:rsidR="00B56BFD" w:rsidRPr="0014738A">
        <w:rPr>
          <w:color w:val="0000FF"/>
        </w:rPr>
        <w:t xml:space="preserve"> </w:t>
      </w:r>
      <w:r w:rsidR="0014738A">
        <w:rPr>
          <w:color w:val="0000FF"/>
        </w:rPr>
        <w:t xml:space="preserve">see </w:t>
      </w:r>
      <w:r w:rsidR="00893438" w:rsidRPr="0014738A">
        <w:rPr>
          <w:color w:val="0000FF"/>
        </w:rPr>
        <w:t>Exhibit</w:t>
      </w:r>
      <w:r w:rsidR="0014738A">
        <w:rPr>
          <w:color w:val="0000FF"/>
        </w:rPr>
        <w:t>s</w:t>
      </w:r>
      <w:r w:rsidR="00B56BFD" w:rsidRPr="0014738A">
        <w:rPr>
          <w:color w:val="0000FF"/>
        </w:rPr>
        <w:t xml:space="preserve"> 2-11</w:t>
      </w:r>
      <w:r w:rsidR="006C68D5" w:rsidRPr="0014738A">
        <w:rPr>
          <w:color w:val="0000FF"/>
        </w:rPr>
        <w:t>.</w:t>
      </w:r>
    </w:p>
    <w:p w:rsidR="000F1DAC" w:rsidRPr="000F1DAC" w:rsidRDefault="000F1DAC" w:rsidP="000F1DAC"/>
    <w:p w:rsidR="000F1DAC" w:rsidRDefault="00523609" w:rsidP="00523609">
      <w:pPr>
        <w:pStyle w:val="ListParagraph"/>
        <w:ind w:left="360"/>
      </w:pPr>
      <w:r>
        <w:rPr>
          <w:b/>
          <w:u w:val="single"/>
        </w:rPr>
        <w:t>Question #10:</w:t>
      </w:r>
      <w:r>
        <w:rPr>
          <w:b/>
        </w:rPr>
        <w:t xml:space="preserve"> </w:t>
      </w:r>
      <w:r w:rsidR="000F1DAC" w:rsidRPr="000F1DAC">
        <w:t>Please provide copies of UTP’s most recent applications used to obtain insurance.</w:t>
      </w:r>
    </w:p>
    <w:p w:rsidR="000F1DAC" w:rsidRDefault="000F1DAC" w:rsidP="000F1DAC"/>
    <w:p w:rsidR="000F1DAC" w:rsidRPr="005B501F" w:rsidRDefault="00523609" w:rsidP="000F1DAC">
      <w:pPr>
        <w:ind w:left="360"/>
        <w:rPr>
          <w:b/>
          <w:color w:val="0000FF"/>
        </w:rPr>
      </w:pPr>
      <w:r>
        <w:rPr>
          <w:b/>
          <w:color w:val="0000FF"/>
          <w:u w:val="single"/>
        </w:rPr>
        <w:t>Answer #10:</w:t>
      </w:r>
      <w:r w:rsidR="006C68D5" w:rsidRPr="005B501F">
        <w:rPr>
          <w:b/>
          <w:color w:val="0000FF"/>
        </w:rPr>
        <w:t xml:space="preserve"> </w:t>
      </w:r>
      <w:r w:rsidR="006C68D5" w:rsidRPr="0014738A">
        <w:rPr>
          <w:color w:val="0000FF"/>
        </w:rPr>
        <w:t>Ple</w:t>
      </w:r>
      <w:r w:rsidR="00B56BFD" w:rsidRPr="0014738A">
        <w:rPr>
          <w:color w:val="0000FF"/>
        </w:rPr>
        <w:t xml:space="preserve">ase see </w:t>
      </w:r>
      <w:r w:rsidR="00893438" w:rsidRPr="0014738A">
        <w:rPr>
          <w:color w:val="0000FF"/>
        </w:rPr>
        <w:t>Exhibit</w:t>
      </w:r>
      <w:r w:rsidR="0014738A">
        <w:rPr>
          <w:color w:val="0000FF"/>
        </w:rPr>
        <w:t>s</w:t>
      </w:r>
      <w:r w:rsidR="00B56BFD" w:rsidRPr="0014738A">
        <w:rPr>
          <w:color w:val="0000FF"/>
        </w:rPr>
        <w:t xml:space="preserve"> 2-11</w:t>
      </w:r>
      <w:r w:rsidR="005B54FC" w:rsidRPr="0014738A">
        <w:rPr>
          <w:color w:val="0000FF"/>
        </w:rPr>
        <w:t>.</w:t>
      </w:r>
    </w:p>
    <w:p w:rsidR="000F1DAC" w:rsidRPr="000F1DAC" w:rsidRDefault="000F1DAC" w:rsidP="000F1DAC"/>
    <w:p w:rsidR="000F1DAC" w:rsidRDefault="00523609" w:rsidP="00523609">
      <w:pPr>
        <w:pStyle w:val="ListParagraph"/>
        <w:ind w:left="360"/>
      </w:pPr>
      <w:r>
        <w:rPr>
          <w:b/>
          <w:u w:val="single"/>
        </w:rPr>
        <w:t>Question #11:</w:t>
      </w:r>
      <w:r>
        <w:rPr>
          <w:b/>
        </w:rPr>
        <w:t xml:space="preserve"> </w:t>
      </w:r>
      <w:r w:rsidR="000F1DAC" w:rsidRPr="000F1DAC">
        <w:t xml:space="preserve">Please provide financials.  We will </w:t>
      </w:r>
      <w:r w:rsidR="0026298D">
        <w:t>need</w:t>
      </w:r>
      <w:r w:rsidR="000F1DAC" w:rsidRPr="000F1DAC">
        <w:t xml:space="preserve"> them </w:t>
      </w:r>
      <w:r w:rsidR="0026298D">
        <w:t xml:space="preserve">to </w:t>
      </w:r>
      <w:r w:rsidR="000F1DAC" w:rsidRPr="000F1DAC">
        <w:t>obtain the directors and officers quote.  Please include last year’s final audited financials and this year’s year-to-date financials.</w:t>
      </w:r>
    </w:p>
    <w:p w:rsidR="000F1DAC" w:rsidRDefault="000F1DAC" w:rsidP="000F1DAC"/>
    <w:p w:rsidR="000F1DAC" w:rsidRPr="005B501F" w:rsidRDefault="0014738A" w:rsidP="000F1DAC">
      <w:pPr>
        <w:ind w:left="360"/>
        <w:rPr>
          <w:b/>
          <w:color w:val="0000FF"/>
        </w:rPr>
      </w:pPr>
      <w:r>
        <w:rPr>
          <w:b/>
          <w:color w:val="0000FF"/>
          <w:u w:val="single"/>
        </w:rPr>
        <w:t>Answer #11</w:t>
      </w:r>
      <w:r>
        <w:rPr>
          <w:b/>
          <w:color w:val="0000FF"/>
        </w:rPr>
        <w:t>:</w:t>
      </w:r>
      <w:r w:rsidR="000F1DAC" w:rsidRPr="0014738A">
        <w:rPr>
          <w:color w:val="0000FF"/>
        </w:rPr>
        <w:t xml:space="preserve"> </w:t>
      </w:r>
      <w:r w:rsidR="00B56BFD" w:rsidRPr="0014738A">
        <w:rPr>
          <w:color w:val="0000FF"/>
        </w:rPr>
        <w:t xml:space="preserve">Please see </w:t>
      </w:r>
      <w:r w:rsidR="00893438" w:rsidRPr="0014738A">
        <w:rPr>
          <w:color w:val="0000FF"/>
        </w:rPr>
        <w:t>Exhibit</w:t>
      </w:r>
      <w:r w:rsidR="0099590B">
        <w:rPr>
          <w:color w:val="0000FF"/>
        </w:rPr>
        <w:t xml:space="preserve"> 14 &amp; </w:t>
      </w:r>
      <w:r w:rsidR="00B56BFD" w:rsidRPr="0014738A">
        <w:rPr>
          <w:color w:val="0000FF"/>
        </w:rPr>
        <w:t>15</w:t>
      </w:r>
      <w:r w:rsidR="006C68D5" w:rsidRPr="0014738A">
        <w:rPr>
          <w:color w:val="0000FF"/>
        </w:rPr>
        <w:t>.</w:t>
      </w:r>
    </w:p>
    <w:p w:rsidR="000F1DAC" w:rsidRPr="000F1DAC" w:rsidRDefault="000F1DAC" w:rsidP="000F1DAC"/>
    <w:p w:rsidR="000F1DAC" w:rsidRDefault="0014738A" w:rsidP="0014738A">
      <w:pPr>
        <w:pStyle w:val="ListParagraph"/>
        <w:ind w:left="360"/>
      </w:pPr>
      <w:r>
        <w:rPr>
          <w:b/>
          <w:u w:val="single"/>
        </w:rPr>
        <w:t>Question #12:</w:t>
      </w:r>
      <w:r>
        <w:rPr>
          <w:b/>
        </w:rPr>
        <w:t xml:space="preserve"> </w:t>
      </w:r>
      <w:r w:rsidR="000F1DAC" w:rsidRPr="000F1DAC">
        <w:t>Is this insurance covering the doctors?  If so, please complete the roster attached or provide a list of doctors that includes the information requested on the roster.</w:t>
      </w:r>
    </w:p>
    <w:p w:rsidR="000F1DAC" w:rsidRDefault="000F1DAC" w:rsidP="000F1DAC"/>
    <w:p w:rsidR="000F1DAC" w:rsidRPr="0014738A" w:rsidRDefault="0014738A" w:rsidP="000F1DAC">
      <w:pPr>
        <w:ind w:left="360"/>
        <w:rPr>
          <w:color w:val="0000FF"/>
        </w:rPr>
      </w:pPr>
      <w:r>
        <w:rPr>
          <w:b/>
          <w:color w:val="0000FF"/>
          <w:u w:val="single"/>
        </w:rPr>
        <w:t>Answer #12</w:t>
      </w:r>
      <w:r>
        <w:rPr>
          <w:b/>
          <w:color w:val="0000FF"/>
        </w:rPr>
        <w:t>:</w:t>
      </w:r>
      <w:r w:rsidR="00F06614" w:rsidRPr="005B501F">
        <w:rPr>
          <w:b/>
          <w:color w:val="0000FF"/>
        </w:rPr>
        <w:t xml:space="preserve"> </w:t>
      </w:r>
      <w:r w:rsidR="00F06614" w:rsidRPr="0014738A">
        <w:rPr>
          <w:color w:val="0000FF"/>
        </w:rPr>
        <w:t xml:space="preserve">This is property &amp; casualty insurance coverage. Please see answer to </w:t>
      </w:r>
      <w:r w:rsidR="007E4A22">
        <w:rPr>
          <w:color w:val="0000FF"/>
        </w:rPr>
        <w:t xml:space="preserve">Question </w:t>
      </w:r>
      <w:r w:rsidR="00F06614" w:rsidRPr="0014738A">
        <w:rPr>
          <w:color w:val="0000FF"/>
        </w:rPr>
        <w:t>#4.</w:t>
      </w:r>
    </w:p>
    <w:p w:rsidR="000F1DAC" w:rsidRPr="000F1DAC" w:rsidRDefault="000F1DAC" w:rsidP="000F1DAC"/>
    <w:p w:rsidR="000F1DAC" w:rsidRDefault="0014738A" w:rsidP="0014738A">
      <w:pPr>
        <w:pStyle w:val="ListParagraph"/>
        <w:ind w:left="360"/>
      </w:pPr>
      <w:r>
        <w:rPr>
          <w:b/>
          <w:u w:val="single"/>
        </w:rPr>
        <w:t>Question #13</w:t>
      </w:r>
      <w:r>
        <w:rPr>
          <w:b/>
        </w:rPr>
        <w:t xml:space="preserve">: </w:t>
      </w:r>
      <w:r w:rsidR="000F1DAC" w:rsidRPr="000F1DAC">
        <w:t xml:space="preserve">Please provide a breakout of operations by class of service.  For instance, how many OPVs are primary care, how many are trauma, how many are OB, etc.  I see that we might be able to figure out some of the </w:t>
      </w:r>
      <w:r w:rsidR="000F1DAC" w:rsidRPr="000F1DAC">
        <w:lastRenderedPageBreak/>
        <w:t xml:space="preserve">OPVs from attachment A.  But there are several locations like </w:t>
      </w:r>
      <w:proofErr w:type="spellStart"/>
      <w:r w:rsidR="000F1DAC" w:rsidRPr="000F1DAC">
        <w:t>Greenspoint</w:t>
      </w:r>
      <w:proofErr w:type="spellEnd"/>
      <w:r w:rsidR="000F1DAC" w:rsidRPr="000F1DAC">
        <w:t xml:space="preserve"> Clinic and Davis Clinic, where I’m not able to discern what class of service those OPVs will fall into.</w:t>
      </w:r>
    </w:p>
    <w:p w:rsidR="000F1DAC" w:rsidRDefault="000F1DAC" w:rsidP="000F1DAC"/>
    <w:p w:rsidR="000F1DAC" w:rsidRPr="0014738A" w:rsidRDefault="0014738A" w:rsidP="000F1DAC">
      <w:pPr>
        <w:ind w:left="360"/>
      </w:pPr>
      <w:r>
        <w:rPr>
          <w:b/>
          <w:color w:val="0000FF"/>
          <w:u w:val="single"/>
        </w:rPr>
        <w:t>Answer #13</w:t>
      </w:r>
      <w:r>
        <w:rPr>
          <w:b/>
          <w:color w:val="0000FF"/>
        </w:rPr>
        <w:t>:</w:t>
      </w:r>
      <w:r w:rsidR="00100DD7" w:rsidRPr="00100DD7">
        <w:rPr>
          <w:b/>
          <w:color w:val="0000FF"/>
        </w:rPr>
        <w:t xml:space="preserve"> </w:t>
      </w:r>
      <w:r w:rsidR="00100DD7" w:rsidRPr="0014738A">
        <w:rPr>
          <w:color w:val="0000FF"/>
        </w:rPr>
        <w:t>219,395 (30%) of the total 721,316 OPVs are primary care visits. 501,921 (70%) are specialty visits.</w:t>
      </w:r>
    </w:p>
    <w:p w:rsidR="000F1DAC" w:rsidRPr="000F1DAC" w:rsidRDefault="000F1DAC" w:rsidP="000F1DAC"/>
    <w:p w:rsidR="000F1DAC" w:rsidRDefault="0014738A" w:rsidP="0014738A">
      <w:pPr>
        <w:pStyle w:val="ListParagraph"/>
        <w:ind w:left="360"/>
      </w:pPr>
      <w:r>
        <w:rPr>
          <w:b/>
          <w:u w:val="single"/>
        </w:rPr>
        <w:t>Question #14</w:t>
      </w:r>
      <w:r>
        <w:rPr>
          <w:b/>
        </w:rPr>
        <w:t xml:space="preserve">: </w:t>
      </w:r>
      <w:r w:rsidR="000F1DAC" w:rsidRPr="000F1DAC">
        <w:t>Are you allowing post-binding inspections by the insurance companies?</w:t>
      </w:r>
    </w:p>
    <w:p w:rsidR="000F1DAC" w:rsidRDefault="000F1DAC" w:rsidP="000F1DAC"/>
    <w:p w:rsidR="000F1DAC" w:rsidRPr="005B54FC" w:rsidRDefault="0014738A" w:rsidP="000F1DAC">
      <w:pPr>
        <w:ind w:left="360"/>
        <w:rPr>
          <w:b/>
          <w:color w:val="0000FF"/>
        </w:rPr>
      </w:pPr>
      <w:r>
        <w:rPr>
          <w:b/>
          <w:color w:val="0000FF"/>
          <w:u w:val="single"/>
        </w:rPr>
        <w:t>Answer #14</w:t>
      </w:r>
      <w:r>
        <w:rPr>
          <w:b/>
          <w:color w:val="0000FF"/>
        </w:rPr>
        <w:t>:</w:t>
      </w:r>
      <w:r w:rsidR="000F1DAC" w:rsidRPr="005B54FC">
        <w:rPr>
          <w:b/>
          <w:color w:val="0000FF"/>
        </w:rPr>
        <w:t xml:space="preserve"> </w:t>
      </w:r>
      <w:r w:rsidR="005B54FC" w:rsidRPr="0014738A">
        <w:rPr>
          <w:color w:val="0000FF"/>
        </w:rPr>
        <w:t xml:space="preserve">Yes. </w:t>
      </w:r>
    </w:p>
    <w:p w:rsidR="000F1DAC" w:rsidRPr="000F1DAC" w:rsidRDefault="000F1DAC" w:rsidP="000F1DAC"/>
    <w:p w:rsidR="000F1DAC" w:rsidRDefault="0014738A" w:rsidP="0014738A">
      <w:pPr>
        <w:pStyle w:val="ListParagraph"/>
        <w:ind w:left="360"/>
      </w:pPr>
      <w:r>
        <w:rPr>
          <w:b/>
          <w:u w:val="single"/>
        </w:rPr>
        <w:t>Question#15</w:t>
      </w:r>
      <w:r>
        <w:rPr>
          <w:b/>
        </w:rPr>
        <w:t xml:space="preserve">: </w:t>
      </w:r>
      <w:r w:rsidR="000F1DAC" w:rsidRPr="000F1DAC">
        <w:t>Please provide a drivers list with the drivers’ name, DOB, license number and state of license.</w:t>
      </w:r>
    </w:p>
    <w:p w:rsidR="000F1DAC" w:rsidRDefault="000F1DAC" w:rsidP="000F1DAC"/>
    <w:p w:rsidR="000F1DAC" w:rsidRPr="005B501F" w:rsidRDefault="0014738A" w:rsidP="000F1DAC">
      <w:pPr>
        <w:ind w:left="360"/>
        <w:rPr>
          <w:b/>
          <w:color w:val="0000FF"/>
        </w:rPr>
      </w:pPr>
      <w:r>
        <w:rPr>
          <w:b/>
          <w:color w:val="0000FF"/>
          <w:u w:val="single"/>
        </w:rPr>
        <w:t>Answer #15</w:t>
      </w:r>
      <w:r>
        <w:rPr>
          <w:b/>
          <w:color w:val="0000FF"/>
        </w:rPr>
        <w:t>:</w:t>
      </w:r>
      <w:r w:rsidR="000F1DAC" w:rsidRPr="005B501F">
        <w:rPr>
          <w:b/>
          <w:color w:val="0000FF"/>
        </w:rPr>
        <w:t xml:space="preserve"> </w:t>
      </w:r>
      <w:r w:rsidR="005C096B" w:rsidRPr="0014738A">
        <w:rPr>
          <w:color w:val="0000FF"/>
        </w:rPr>
        <w:t>Please see</w:t>
      </w:r>
      <w:r w:rsidR="005B1416" w:rsidRPr="0014738A">
        <w:rPr>
          <w:color w:val="0000FF"/>
        </w:rPr>
        <w:t xml:space="preserve"> </w:t>
      </w:r>
      <w:r w:rsidR="00893438" w:rsidRPr="0014738A">
        <w:rPr>
          <w:color w:val="0000FF"/>
        </w:rPr>
        <w:t>Exhibit</w:t>
      </w:r>
      <w:r w:rsidR="005B1416" w:rsidRPr="0014738A">
        <w:rPr>
          <w:color w:val="0000FF"/>
        </w:rPr>
        <w:t xml:space="preserve"> 12.</w:t>
      </w:r>
    </w:p>
    <w:p w:rsidR="000F1DAC" w:rsidRPr="000F1DAC" w:rsidRDefault="000F1DAC" w:rsidP="000F1DAC"/>
    <w:p w:rsidR="000F1DAC" w:rsidRDefault="0014738A" w:rsidP="0014738A">
      <w:pPr>
        <w:pStyle w:val="ListParagraph"/>
        <w:ind w:left="360"/>
      </w:pPr>
      <w:r>
        <w:rPr>
          <w:b/>
          <w:u w:val="single"/>
        </w:rPr>
        <w:t>Question #16</w:t>
      </w:r>
      <w:r>
        <w:rPr>
          <w:b/>
        </w:rPr>
        <w:t xml:space="preserve">: </w:t>
      </w:r>
      <w:r w:rsidR="000F1DAC">
        <w:t>Attachment A – UT Physicians Locations:</w:t>
      </w:r>
    </w:p>
    <w:p w:rsidR="000F1DAC" w:rsidRDefault="000F1DAC" w:rsidP="000F1DAC">
      <w:pPr>
        <w:pStyle w:val="ListParagraph"/>
        <w:numPr>
          <w:ilvl w:val="1"/>
          <w:numId w:val="1"/>
        </w:numPr>
      </w:pPr>
      <w:r>
        <w:t xml:space="preserve">Please complete the occupancy for lines 146 &amp; 147. </w:t>
      </w:r>
    </w:p>
    <w:p w:rsidR="00BE2641" w:rsidRDefault="00BE2641" w:rsidP="00BE2641"/>
    <w:p w:rsidR="00BE2641" w:rsidRPr="005B501F" w:rsidRDefault="0014738A" w:rsidP="00BE2641">
      <w:pPr>
        <w:ind w:left="720"/>
        <w:rPr>
          <w:b/>
          <w:color w:val="0000FF"/>
        </w:rPr>
      </w:pPr>
      <w:r>
        <w:rPr>
          <w:b/>
          <w:color w:val="0000FF"/>
          <w:u w:val="single"/>
        </w:rPr>
        <w:t>Answer #16a</w:t>
      </w:r>
      <w:r>
        <w:rPr>
          <w:b/>
          <w:color w:val="0000FF"/>
        </w:rPr>
        <w:t>:</w:t>
      </w:r>
      <w:r w:rsidR="0026298D" w:rsidRPr="005B501F">
        <w:rPr>
          <w:b/>
          <w:color w:val="0000FF"/>
        </w:rPr>
        <w:t xml:space="preserve"> </w:t>
      </w:r>
      <w:r w:rsidR="00B56BFD" w:rsidRPr="0014738A">
        <w:rPr>
          <w:color w:val="0000FF"/>
        </w:rPr>
        <w:t xml:space="preserve">Please see </w:t>
      </w:r>
      <w:r w:rsidR="00893438" w:rsidRPr="0014738A">
        <w:rPr>
          <w:color w:val="0000FF"/>
        </w:rPr>
        <w:t>Exhibit</w:t>
      </w:r>
      <w:r w:rsidR="00B56BFD" w:rsidRPr="0014738A">
        <w:rPr>
          <w:color w:val="0000FF"/>
        </w:rPr>
        <w:t xml:space="preserve"> 17</w:t>
      </w:r>
      <w:r w:rsidR="0026298D" w:rsidRPr="0014738A">
        <w:rPr>
          <w:color w:val="0000FF"/>
        </w:rPr>
        <w:t>.</w:t>
      </w:r>
    </w:p>
    <w:p w:rsidR="00BE2641" w:rsidRDefault="00BE2641" w:rsidP="00BE2641">
      <w:pPr>
        <w:ind w:left="720"/>
      </w:pPr>
    </w:p>
    <w:p w:rsidR="000F1DAC" w:rsidRDefault="000F1DAC" w:rsidP="000F1DAC">
      <w:pPr>
        <w:pStyle w:val="ListParagraph"/>
        <w:numPr>
          <w:ilvl w:val="1"/>
          <w:numId w:val="1"/>
        </w:numPr>
      </w:pPr>
      <w:r>
        <w:t>Please provide the year the roof was updated for lines: 3, 8, 9, 13, 20, 32, 35, 36, 54, 67, 75, 87, 94, 96, 109, 119, 121, 130, 138, 147</w:t>
      </w:r>
    </w:p>
    <w:p w:rsidR="0014738A" w:rsidRDefault="0014738A" w:rsidP="00BE2641">
      <w:pPr>
        <w:ind w:left="720"/>
      </w:pPr>
    </w:p>
    <w:p w:rsidR="0014738A" w:rsidRPr="0014738A" w:rsidRDefault="0014738A" w:rsidP="00BE2641">
      <w:pPr>
        <w:ind w:left="720"/>
        <w:rPr>
          <w:b/>
          <w:u w:val="single"/>
        </w:rPr>
      </w:pPr>
      <w:r w:rsidRPr="0014738A">
        <w:rPr>
          <w:b/>
          <w:color w:val="0000FF"/>
          <w:u w:val="single"/>
        </w:rPr>
        <w:t>Answer #16b:</w:t>
      </w:r>
    </w:p>
    <w:tbl>
      <w:tblPr>
        <w:tblW w:w="10916" w:type="dxa"/>
        <w:tblInd w:w="-8" w:type="dxa"/>
        <w:tblCellMar>
          <w:left w:w="0" w:type="dxa"/>
          <w:right w:w="0" w:type="dxa"/>
        </w:tblCellMar>
        <w:tblLook w:val="04A0" w:firstRow="1" w:lastRow="0" w:firstColumn="1" w:lastColumn="0" w:noHBand="0" w:noVBand="1"/>
      </w:tblPr>
      <w:tblGrid>
        <w:gridCol w:w="660"/>
        <w:gridCol w:w="3980"/>
        <w:gridCol w:w="6276"/>
      </w:tblGrid>
      <w:tr w:rsidR="00FF2D1F" w:rsidRPr="00FF2D1F" w:rsidTr="0014738A">
        <w:trPr>
          <w:trHeight w:val="315"/>
        </w:trPr>
        <w:tc>
          <w:tcPr>
            <w:tcW w:w="660" w:type="dxa"/>
            <w:tcBorders>
              <w:top w:val="single" w:sz="8" w:space="0" w:color="auto"/>
              <w:left w:val="single" w:sz="8" w:space="0" w:color="auto"/>
              <w:bottom w:val="single" w:sz="8" w:space="0" w:color="auto"/>
              <w:right w:val="single" w:sz="8" w:space="0" w:color="auto"/>
            </w:tcBorders>
            <w:shd w:val="clear" w:color="auto" w:fill="F4B084"/>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b/>
                <w:bCs/>
                <w:color w:val="000000"/>
                <w:sz w:val="19"/>
                <w:szCs w:val="19"/>
              </w:rPr>
            </w:pPr>
            <w:proofErr w:type="spellStart"/>
            <w:r w:rsidRPr="00FF2D1F">
              <w:rPr>
                <w:rFonts w:ascii="Arial" w:eastAsia="Calibri" w:hAnsi="Arial" w:cs="Arial"/>
                <w:b/>
                <w:bCs/>
                <w:color w:val="000000"/>
                <w:sz w:val="19"/>
                <w:szCs w:val="19"/>
              </w:rPr>
              <w:t>Loc</w:t>
            </w:r>
            <w:proofErr w:type="spellEnd"/>
            <w:r w:rsidRPr="00FF2D1F">
              <w:rPr>
                <w:rFonts w:ascii="Arial" w:eastAsia="Calibri" w:hAnsi="Arial" w:cs="Arial"/>
                <w:b/>
                <w:bCs/>
                <w:color w:val="000000"/>
                <w:sz w:val="19"/>
                <w:szCs w:val="19"/>
              </w:rPr>
              <w:t>#</w:t>
            </w:r>
          </w:p>
        </w:tc>
        <w:tc>
          <w:tcPr>
            <w:tcW w:w="3980" w:type="dxa"/>
            <w:tcBorders>
              <w:top w:val="single" w:sz="8" w:space="0" w:color="auto"/>
              <w:left w:val="nil"/>
              <w:bottom w:val="single" w:sz="8" w:space="0" w:color="auto"/>
              <w:right w:val="single" w:sz="8" w:space="0" w:color="auto"/>
            </w:tcBorders>
            <w:shd w:val="clear" w:color="auto" w:fill="F4B084"/>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b/>
                <w:bCs/>
                <w:color w:val="000000"/>
                <w:sz w:val="19"/>
                <w:szCs w:val="19"/>
              </w:rPr>
            </w:pPr>
            <w:r w:rsidRPr="00FF2D1F">
              <w:rPr>
                <w:rFonts w:ascii="Arial" w:eastAsia="Calibri" w:hAnsi="Arial" w:cs="Arial"/>
                <w:b/>
                <w:bCs/>
                <w:color w:val="000000"/>
                <w:sz w:val="19"/>
                <w:szCs w:val="19"/>
              </w:rPr>
              <w:t>Location</w:t>
            </w:r>
          </w:p>
        </w:tc>
        <w:tc>
          <w:tcPr>
            <w:tcW w:w="6276" w:type="dxa"/>
            <w:tcBorders>
              <w:top w:val="single" w:sz="8" w:space="0" w:color="auto"/>
              <w:left w:val="nil"/>
              <w:bottom w:val="single" w:sz="8" w:space="0" w:color="auto"/>
              <w:right w:val="single" w:sz="8" w:space="0" w:color="auto"/>
            </w:tcBorders>
            <w:shd w:val="clear" w:color="auto" w:fill="F4B084"/>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b/>
                <w:bCs/>
                <w:color w:val="000000"/>
                <w:sz w:val="19"/>
                <w:szCs w:val="19"/>
              </w:rPr>
            </w:pPr>
            <w:r w:rsidRPr="00FF2D1F">
              <w:rPr>
                <w:rFonts w:ascii="Arial" w:eastAsia="Calibri" w:hAnsi="Arial" w:cs="Arial"/>
                <w:b/>
                <w:bCs/>
                <w:color w:val="000000"/>
                <w:sz w:val="19"/>
                <w:szCs w:val="19"/>
              </w:rPr>
              <w:t>Landlord Comment</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3</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6400 Fannin, Suite 2700.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during initial construction at the end of 2006.  There were some repairs made to a portion of the roof after Hurricane Ike in 2008</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8</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6410 Fannin, Suite 420.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Installed in 1999 and will be updated in 2019</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9</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6410 Fannin, Suites 210 &amp; 250.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in 1999 and will be updated in 2019</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13</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6410 Fannin, Suite 1400.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in 1999 and will be updated in 2019</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20</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6410 Fannin, Suite LL125.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in 1999 and will be updated in 2019</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32</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6400 Fannin, Suite 1700 &amp; 1620.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during initial construction at the end of 2006.  There were some repairs made to a portion of the roof after Hurricane Ike in 2008</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35</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929 Gessner,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2009-2010 /recoated with reflective coating in 2016</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36</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 xml:space="preserve">9200 </w:t>
            </w:r>
            <w:proofErr w:type="spellStart"/>
            <w:r w:rsidRPr="00FF2D1F">
              <w:rPr>
                <w:rFonts w:ascii="Arial" w:eastAsia="Calibri" w:hAnsi="Arial" w:cs="Arial"/>
                <w:color w:val="000000"/>
                <w:sz w:val="19"/>
                <w:szCs w:val="19"/>
              </w:rPr>
              <w:t>Pinecroft</w:t>
            </w:r>
            <w:proofErr w:type="spellEnd"/>
            <w:r w:rsidRPr="00FF2D1F">
              <w:rPr>
                <w:rFonts w:ascii="Arial" w:eastAsia="Calibri" w:hAnsi="Arial" w:cs="Arial"/>
                <w:color w:val="000000"/>
                <w:sz w:val="19"/>
                <w:szCs w:val="19"/>
              </w:rPr>
              <w:t>, Suite 130. Woodlands</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Roof last updated in 2004</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54</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5420 Dashwood, Suite 100.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Flashing/perimeter repair done on 03/2016 &amp; 08/2016; membrane repair done on 08/2016</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67</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915 Gessner,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Installed 2003 / inspected annually / no repairs were needed in 2016</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75</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5420 Dashwood, Suite 301.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Flashing/perimeter repair done on 03/2016 &amp; 08/2016; membrane repair done on 08/2016</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87</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15035 SW Freeway, Sugar Land</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Building was purchased in Oct 2007 and at that time the roof was inspected with any necessary repairs made upon remodeling the building. No repairs have been needed since purchase</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94</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10450 Spring Green Blvd, Katy</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sz w:val="19"/>
                <w:szCs w:val="19"/>
              </w:rPr>
            </w:pPr>
            <w:r w:rsidRPr="00FF2D1F">
              <w:rPr>
                <w:rFonts w:ascii="Arial" w:eastAsia="Calibri" w:hAnsi="Arial" w:cs="Arial"/>
                <w:sz w:val="19"/>
                <w:szCs w:val="19"/>
              </w:rPr>
              <w:t>Jan 2017 to place a patch for a leak</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109</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 xml:space="preserve">9200 </w:t>
            </w:r>
            <w:proofErr w:type="spellStart"/>
            <w:r w:rsidRPr="00FF2D1F">
              <w:rPr>
                <w:rFonts w:ascii="Arial" w:eastAsia="Calibri" w:hAnsi="Arial" w:cs="Arial"/>
                <w:color w:val="000000"/>
                <w:sz w:val="19"/>
                <w:szCs w:val="19"/>
              </w:rPr>
              <w:t>Pinecroft</w:t>
            </w:r>
            <w:proofErr w:type="spellEnd"/>
            <w:r w:rsidRPr="00FF2D1F">
              <w:rPr>
                <w:rFonts w:ascii="Arial" w:eastAsia="Calibri" w:hAnsi="Arial" w:cs="Arial"/>
                <w:color w:val="000000"/>
                <w:sz w:val="19"/>
                <w:szCs w:val="19"/>
              </w:rPr>
              <w:t>, Suite 320. Woodlands</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Last updated in 2004</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119</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17150 El Camino Real,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Last updated in 2015</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121</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8603 W Broadway St, Pearland</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We have made no updates to the roof since acquiring it in 2014.  Our records have no indication of the last update to the roof.  It has been repaired</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130</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5115 Avenue H, Rosenberg</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The roof is in good condition - can't be older than 1996.  Minor repairs were made in 2016</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138</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6410 Fannin, Suite 360. Houston</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Roof installed in 1999 and will be updated in 2019</w:t>
            </w:r>
          </w:p>
        </w:tc>
      </w:tr>
      <w:tr w:rsidR="00FF2D1F" w:rsidRPr="00FF2D1F" w:rsidTr="0014738A">
        <w:trPr>
          <w:trHeight w:val="300"/>
        </w:trPr>
        <w:tc>
          <w:tcPr>
            <w:tcW w:w="66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jc w:val="center"/>
              <w:rPr>
                <w:rFonts w:ascii="Arial" w:eastAsia="Calibri" w:hAnsi="Arial" w:cs="Arial"/>
                <w:color w:val="000000"/>
                <w:sz w:val="19"/>
                <w:szCs w:val="19"/>
              </w:rPr>
            </w:pPr>
            <w:r w:rsidRPr="00FF2D1F">
              <w:rPr>
                <w:rFonts w:ascii="Arial" w:eastAsia="Calibri" w:hAnsi="Arial" w:cs="Arial"/>
                <w:color w:val="000000"/>
                <w:sz w:val="19"/>
                <w:szCs w:val="19"/>
              </w:rPr>
              <w:t>147</w:t>
            </w:r>
          </w:p>
        </w:tc>
        <w:tc>
          <w:tcPr>
            <w:tcW w:w="39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500 Medical Center, Conroe</w:t>
            </w:r>
          </w:p>
        </w:tc>
        <w:tc>
          <w:tcPr>
            <w:tcW w:w="62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FF2D1F" w:rsidRPr="00FF2D1F" w:rsidRDefault="00FF2D1F" w:rsidP="00FF2D1F">
            <w:pPr>
              <w:rPr>
                <w:rFonts w:ascii="Arial" w:eastAsia="Calibri" w:hAnsi="Arial" w:cs="Arial"/>
                <w:color w:val="000000"/>
                <w:sz w:val="19"/>
                <w:szCs w:val="19"/>
              </w:rPr>
            </w:pPr>
            <w:r w:rsidRPr="00FF2D1F">
              <w:rPr>
                <w:rFonts w:ascii="Arial" w:eastAsia="Calibri" w:hAnsi="Arial" w:cs="Arial"/>
                <w:color w:val="000000"/>
                <w:sz w:val="19"/>
                <w:szCs w:val="19"/>
              </w:rPr>
              <w:t>2</w:t>
            </w:r>
            <w:r w:rsidRPr="00FF2D1F">
              <w:rPr>
                <w:rFonts w:ascii="Arial" w:eastAsia="Calibri" w:hAnsi="Arial" w:cs="Arial"/>
                <w:color w:val="000000"/>
                <w:sz w:val="19"/>
                <w:szCs w:val="19"/>
                <w:vertAlign w:val="superscript"/>
              </w:rPr>
              <w:t>nd</w:t>
            </w:r>
            <w:r w:rsidRPr="00FF2D1F">
              <w:rPr>
                <w:rFonts w:ascii="Arial" w:eastAsia="Calibri" w:hAnsi="Arial" w:cs="Arial"/>
                <w:color w:val="000000"/>
                <w:sz w:val="19"/>
                <w:szCs w:val="19"/>
              </w:rPr>
              <w:t xml:space="preserve"> floor walkway roof replaced 6/2016; remainder of the roof was replaced the end of 2007</w:t>
            </w:r>
          </w:p>
        </w:tc>
      </w:tr>
    </w:tbl>
    <w:p w:rsidR="00BE2641" w:rsidRDefault="00BE2641" w:rsidP="00BE2641"/>
    <w:p w:rsidR="000F1DAC" w:rsidRDefault="000F1DAC" w:rsidP="000F1DAC">
      <w:pPr>
        <w:pStyle w:val="ListParagraph"/>
        <w:numPr>
          <w:ilvl w:val="1"/>
          <w:numId w:val="1"/>
        </w:numPr>
      </w:pPr>
      <w:r>
        <w:lastRenderedPageBreak/>
        <w:t>Please provide the year built for lines: 65, 66, 70, 72, 76, 95, 100-104, 144, 146</w:t>
      </w:r>
    </w:p>
    <w:p w:rsidR="00BE2641" w:rsidRDefault="00BE2641" w:rsidP="00BE2641">
      <w:pPr>
        <w:ind w:left="720"/>
      </w:pPr>
    </w:p>
    <w:p w:rsidR="00BE2641" w:rsidRPr="005B501F" w:rsidRDefault="0014738A" w:rsidP="00BE2641">
      <w:pPr>
        <w:ind w:left="720"/>
        <w:rPr>
          <w:b/>
          <w:color w:val="0000FF"/>
        </w:rPr>
      </w:pPr>
      <w:r>
        <w:rPr>
          <w:b/>
          <w:color w:val="0000FF"/>
          <w:u w:val="single"/>
        </w:rPr>
        <w:t>Answer #16c</w:t>
      </w:r>
      <w:r w:rsidR="00B56BFD">
        <w:rPr>
          <w:b/>
          <w:color w:val="0000FF"/>
        </w:rPr>
        <w:t xml:space="preserve">: </w:t>
      </w:r>
      <w:r w:rsidR="00B56BFD" w:rsidRPr="0014738A">
        <w:rPr>
          <w:color w:val="0000FF"/>
        </w:rPr>
        <w:t xml:space="preserve">Please see </w:t>
      </w:r>
      <w:r w:rsidR="00893438" w:rsidRPr="0014738A">
        <w:rPr>
          <w:color w:val="0000FF"/>
        </w:rPr>
        <w:t>Exhibit</w:t>
      </w:r>
      <w:r w:rsidR="00B56BFD" w:rsidRPr="0014738A">
        <w:rPr>
          <w:color w:val="0000FF"/>
        </w:rPr>
        <w:t xml:space="preserve"> 17</w:t>
      </w:r>
      <w:r w:rsidR="0026298D" w:rsidRPr="0014738A">
        <w:rPr>
          <w:color w:val="0000FF"/>
        </w:rPr>
        <w:t>.</w:t>
      </w:r>
    </w:p>
    <w:p w:rsidR="00BE2641" w:rsidRDefault="00BE2641" w:rsidP="00BE2641"/>
    <w:p w:rsidR="008B5A17" w:rsidRDefault="000F1DAC" w:rsidP="008B5A17">
      <w:pPr>
        <w:pStyle w:val="ListParagraph"/>
        <w:numPr>
          <w:ilvl w:val="1"/>
          <w:numId w:val="1"/>
        </w:numPr>
      </w:pPr>
      <w:r>
        <w:t>Should these locations be deleted: 34, 54, 102</w:t>
      </w:r>
    </w:p>
    <w:p w:rsidR="008B5A17" w:rsidRPr="005B501F" w:rsidRDefault="008B5A17" w:rsidP="008B5A17">
      <w:pPr>
        <w:rPr>
          <w:b/>
        </w:rPr>
      </w:pPr>
    </w:p>
    <w:p w:rsidR="000F1DAC" w:rsidRPr="005B501F" w:rsidRDefault="0014738A" w:rsidP="00BE2641">
      <w:pPr>
        <w:ind w:firstLine="720"/>
        <w:rPr>
          <w:b/>
          <w:color w:val="0000FF"/>
        </w:rPr>
      </w:pPr>
      <w:r>
        <w:rPr>
          <w:b/>
          <w:color w:val="0000FF"/>
          <w:u w:val="single"/>
        </w:rPr>
        <w:t>Answer #16d</w:t>
      </w:r>
      <w:r w:rsidR="008B5A17" w:rsidRPr="005B501F">
        <w:rPr>
          <w:b/>
          <w:color w:val="0000FF"/>
        </w:rPr>
        <w:t>:</w:t>
      </w:r>
      <w:r w:rsidR="0026298D" w:rsidRPr="005B501F">
        <w:rPr>
          <w:b/>
          <w:color w:val="0000FF"/>
        </w:rPr>
        <w:t xml:space="preserve"> </w:t>
      </w:r>
      <w:r w:rsidR="0026298D" w:rsidRPr="0014738A">
        <w:rPr>
          <w:color w:val="0000FF"/>
        </w:rPr>
        <w:t>No.</w:t>
      </w:r>
    </w:p>
    <w:p w:rsidR="000F1DAC" w:rsidRDefault="000F1DAC" w:rsidP="000F1DAC"/>
    <w:p w:rsidR="00A706E7" w:rsidRDefault="0014738A" w:rsidP="0014738A">
      <w:pPr>
        <w:pStyle w:val="ListParagraph"/>
        <w:ind w:left="360"/>
      </w:pPr>
      <w:r>
        <w:rPr>
          <w:b/>
          <w:u w:val="single"/>
        </w:rPr>
        <w:t>Question #17</w:t>
      </w:r>
      <w:r>
        <w:rPr>
          <w:b/>
        </w:rPr>
        <w:t xml:space="preserve">: </w:t>
      </w:r>
      <w:r w:rsidR="00A706E7" w:rsidRPr="00A706E7">
        <w:t>Who is the current broker for UTP and are they being asked to participate in the RFP?</w:t>
      </w:r>
    </w:p>
    <w:p w:rsidR="00A706E7" w:rsidRDefault="00A706E7" w:rsidP="00A706E7"/>
    <w:p w:rsidR="00A706E7" w:rsidRPr="005B501F" w:rsidRDefault="0014738A" w:rsidP="0014738A">
      <w:pPr>
        <w:ind w:left="360"/>
        <w:rPr>
          <w:b/>
          <w:color w:val="0000FF"/>
        </w:rPr>
      </w:pPr>
      <w:r>
        <w:rPr>
          <w:b/>
          <w:color w:val="0000FF"/>
          <w:u w:val="single"/>
        </w:rPr>
        <w:t>Answer #17</w:t>
      </w:r>
      <w:r w:rsidR="00A706E7" w:rsidRPr="005B501F">
        <w:rPr>
          <w:b/>
          <w:color w:val="0000FF"/>
        </w:rPr>
        <w:t xml:space="preserve">: </w:t>
      </w:r>
      <w:r w:rsidR="000740D6" w:rsidRPr="0014738A">
        <w:rPr>
          <w:color w:val="0000FF"/>
        </w:rPr>
        <w:t>We have provided all of the information necessary to provide a response. They have been included in the list of vendors notified when the RFP was issued.</w:t>
      </w:r>
    </w:p>
    <w:p w:rsidR="00A706E7" w:rsidRPr="00A706E7" w:rsidRDefault="00A706E7" w:rsidP="00A706E7"/>
    <w:p w:rsidR="00A706E7" w:rsidRDefault="001C4A71" w:rsidP="0014738A">
      <w:pPr>
        <w:pStyle w:val="ListParagraph"/>
        <w:ind w:left="360"/>
      </w:pPr>
      <w:r>
        <w:rPr>
          <w:b/>
          <w:u w:val="single"/>
        </w:rPr>
        <w:t>Question #18</w:t>
      </w:r>
      <w:r>
        <w:rPr>
          <w:b/>
        </w:rPr>
        <w:t xml:space="preserve">: </w:t>
      </w:r>
      <w:r w:rsidR="00A706E7" w:rsidRPr="00A706E7">
        <w:t>Are there guidelines and a timeline for next phases of the RFP?  How many brokers will move to the next stage and will there be in person interviews?</w:t>
      </w:r>
    </w:p>
    <w:p w:rsidR="00A706E7" w:rsidRDefault="00A706E7" w:rsidP="00A706E7"/>
    <w:p w:rsidR="00A706E7" w:rsidRPr="001C4A71" w:rsidRDefault="001C4A71" w:rsidP="0014738A">
      <w:pPr>
        <w:ind w:left="360"/>
        <w:rPr>
          <w:color w:val="0000FF"/>
        </w:rPr>
      </w:pPr>
      <w:r>
        <w:rPr>
          <w:b/>
          <w:color w:val="0000FF"/>
          <w:u w:val="single"/>
        </w:rPr>
        <w:t>Answer #18</w:t>
      </w:r>
      <w:r w:rsidR="00A706E7" w:rsidRPr="005B501F">
        <w:rPr>
          <w:b/>
          <w:color w:val="0000FF"/>
        </w:rPr>
        <w:t>:</w:t>
      </w:r>
      <w:r w:rsidR="000740D6" w:rsidRPr="005B501F">
        <w:rPr>
          <w:b/>
          <w:color w:val="0000FF"/>
        </w:rPr>
        <w:t xml:space="preserve"> </w:t>
      </w:r>
      <w:r w:rsidR="00E44742" w:rsidRPr="001C4A71">
        <w:rPr>
          <w:color w:val="0000FF"/>
        </w:rPr>
        <w:t>Shortlist presentations may begin approximately 2 weeks following th</w:t>
      </w:r>
      <w:r w:rsidRPr="001C4A71">
        <w:rPr>
          <w:color w:val="0000FF"/>
        </w:rPr>
        <w:t>e RFP due date, February 22</w:t>
      </w:r>
      <w:r w:rsidR="00E44742" w:rsidRPr="001C4A71">
        <w:rPr>
          <w:color w:val="0000FF"/>
        </w:rPr>
        <w:t>, 2017. The number of vendors will be determined following the evaluations.</w:t>
      </w:r>
    </w:p>
    <w:p w:rsidR="00E44742" w:rsidRPr="00A706E7" w:rsidRDefault="00E44742" w:rsidP="00A706E7"/>
    <w:p w:rsidR="00A706E7" w:rsidRDefault="001C4A71" w:rsidP="0014738A">
      <w:pPr>
        <w:pStyle w:val="ListParagraph"/>
        <w:ind w:left="360"/>
      </w:pPr>
      <w:r>
        <w:rPr>
          <w:b/>
          <w:u w:val="single"/>
        </w:rPr>
        <w:t>Question #19</w:t>
      </w:r>
      <w:r>
        <w:rPr>
          <w:b/>
        </w:rPr>
        <w:t xml:space="preserve">: </w:t>
      </w:r>
      <w:r w:rsidR="00A706E7" w:rsidRPr="00A706E7">
        <w:t>What are the current expiration dates of the policies?</w:t>
      </w:r>
    </w:p>
    <w:p w:rsidR="00A706E7" w:rsidRDefault="00A706E7" w:rsidP="00A706E7"/>
    <w:p w:rsidR="00A706E7" w:rsidRPr="005B501F" w:rsidRDefault="001C4A71" w:rsidP="0014738A">
      <w:pPr>
        <w:ind w:left="360"/>
        <w:rPr>
          <w:b/>
          <w:color w:val="0000FF"/>
        </w:rPr>
      </w:pPr>
      <w:r>
        <w:rPr>
          <w:b/>
          <w:color w:val="0000FF"/>
          <w:u w:val="single"/>
        </w:rPr>
        <w:t>Answer #19</w:t>
      </w:r>
      <w:r w:rsidR="00A706E7" w:rsidRPr="005B501F">
        <w:rPr>
          <w:b/>
          <w:color w:val="0000FF"/>
        </w:rPr>
        <w:t>:</w:t>
      </w:r>
      <w:r w:rsidR="000740D6" w:rsidRPr="005B501F">
        <w:rPr>
          <w:b/>
          <w:color w:val="0000FF"/>
        </w:rPr>
        <w:t xml:space="preserve"> </w:t>
      </w:r>
      <w:r w:rsidR="00E44742" w:rsidRPr="001C4A71">
        <w:rPr>
          <w:color w:val="0000FF"/>
        </w:rPr>
        <w:t>June 30, 2017</w:t>
      </w:r>
      <w:r w:rsidR="0026298D" w:rsidRPr="001C4A71">
        <w:rPr>
          <w:color w:val="0000FF"/>
        </w:rPr>
        <w:t>.</w:t>
      </w:r>
      <w:r w:rsidR="00E44742" w:rsidRPr="001C4A71">
        <w:rPr>
          <w:color w:val="0000FF"/>
        </w:rPr>
        <w:t xml:space="preserve"> </w:t>
      </w:r>
    </w:p>
    <w:p w:rsidR="00A706E7" w:rsidRPr="00A706E7" w:rsidRDefault="00A706E7" w:rsidP="00A706E7"/>
    <w:p w:rsidR="00A706E7" w:rsidRDefault="001C4A71" w:rsidP="0014738A">
      <w:pPr>
        <w:pStyle w:val="ListParagraph"/>
        <w:ind w:left="360"/>
      </w:pPr>
      <w:r>
        <w:rPr>
          <w:b/>
          <w:u w:val="single"/>
        </w:rPr>
        <w:t>Question #20</w:t>
      </w:r>
      <w:r>
        <w:rPr>
          <w:b/>
        </w:rPr>
        <w:t xml:space="preserve">: </w:t>
      </w:r>
      <w:r w:rsidR="00A706E7" w:rsidRPr="00A706E7">
        <w:t>Can you provide the current carriers by line of coverage?</w:t>
      </w:r>
    </w:p>
    <w:p w:rsidR="00A706E7" w:rsidRDefault="00A706E7" w:rsidP="00A706E7"/>
    <w:p w:rsidR="00A706E7" w:rsidRPr="001C4A71" w:rsidRDefault="001C4A71" w:rsidP="0014738A">
      <w:pPr>
        <w:ind w:left="360"/>
        <w:rPr>
          <w:color w:val="0000FF"/>
        </w:rPr>
      </w:pPr>
      <w:r>
        <w:rPr>
          <w:b/>
          <w:color w:val="0000FF"/>
          <w:u w:val="single"/>
        </w:rPr>
        <w:t>Question #20</w:t>
      </w:r>
      <w:r w:rsidR="00A706E7" w:rsidRPr="005B501F">
        <w:rPr>
          <w:b/>
          <w:color w:val="0000FF"/>
        </w:rPr>
        <w:t>:</w:t>
      </w:r>
      <w:r w:rsidR="00E44742" w:rsidRPr="005B501F">
        <w:rPr>
          <w:b/>
          <w:color w:val="0000FF"/>
        </w:rPr>
        <w:t xml:space="preserve"> </w:t>
      </w:r>
      <w:r w:rsidR="0026298D" w:rsidRPr="001C4A71">
        <w:rPr>
          <w:color w:val="0000FF"/>
        </w:rPr>
        <w:t>Please s</w:t>
      </w:r>
      <w:r w:rsidR="00B56BFD" w:rsidRPr="001C4A71">
        <w:rPr>
          <w:color w:val="0000FF"/>
        </w:rPr>
        <w:t xml:space="preserve">ee answer to </w:t>
      </w:r>
      <w:r w:rsidRPr="001C4A71">
        <w:rPr>
          <w:color w:val="0000FF"/>
        </w:rPr>
        <w:t xml:space="preserve">Question </w:t>
      </w:r>
      <w:r w:rsidR="00B56BFD" w:rsidRPr="001C4A71">
        <w:rPr>
          <w:color w:val="0000FF"/>
        </w:rPr>
        <w:t xml:space="preserve">#9 or </w:t>
      </w:r>
      <w:r w:rsidR="00893438" w:rsidRPr="001C4A71">
        <w:rPr>
          <w:color w:val="0000FF"/>
        </w:rPr>
        <w:t>Exhibit</w:t>
      </w:r>
      <w:r w:rsidRPr="001C4A71">
        <w:rPr>
          <w:color w:val="0000FF"/>
        </w:rPr>
        <w:t>s</w:t>
      </w:r>
      <w:r w:rsidR="00B56BFD" w:rsidRPr="001C4A71">
        <w:rPr>
          <w:color w:val="0000FF"/>
        </w:rPr>
        <w:t xml:space="preserve"> 2-11</w:t>
      </w:r>
      <w:r w:rsidR="0026298D" w:rsidRPr="001C4A71">
        <w:rPr>
          <w:color w:val="0000FF"/>
        </w:rPr>
        <w:t>.</w:t>
      </w:r>
    </w:p>
    <w:p w:rsidR="00A706E7" w:rsidRPr="00A706E7" w:rsidRDefault="00A706E7" w:rsidP="00A706E7"/>
    <w:p w:rsidR="00A706E7" w:rsidRDefault="001C4A71" w:rsidP="0014738A">
      <w:pPr>
        <w:pStyle w:val="ListParagraph"/>
        <w:ind w:left="360"/>
      </w:pPr>
      <w:r>
        <w:rPr>
          <w:b/>
          <w:u w:val="single"/>
        </w:rPr>
        <w:t>Question #21</w:t>
      </w:r>
      <w:r>
        <w:rPr>
          <w:b/>
        </w:rPr>
        <w:t xml:space="preserve">: </w:t>
      </w:r>
      <w:r w:rsidR="00A706E7" w:rsidRPr="00A706E7">
        <w:t>Will the broker finalists be allowed to review any of the current policies?  For example, cyber insurance is a hot topic in the healthcare industry and our Cyber team has discovered a number of coverage issues in other RFP program reviews to date.</w:t>
      </w:r>
    </w:p>
    <w:p w:rsidR="00A706E7" w:rsidRDefault="00A706E7" w:rsidP="00A706E7"/>
    <w:p w:rsidR="00A706E7" w:rsidRPr="001C4A71" w:rsidRDefault="001C4A71" w:rsidP="0014738A">
      <w:pPr>
        <w:ind w:left="360"/>
        <w:rPr>
          <w:color w:val="0000FF"/>
        </w:rPr>
      </w:pPr>
      <w:r>
        <w:rPr>
          <w:b/>
          <w:color w:val="0000FF"/>
          <w:u w:val="single"/>
        </w:rPr>
        <w:t>Answer #21</w:t>
      </w:r>
      <w:r w:rsidR="00A706E7" w:rsidRPr="005B501F">
        <w:rPr>
          <w:b/>
          <w:color w:val="0000FF"/>
        </w:rPr>
        <w:t xml:space="preserve">: </w:t>
      </w:r>
      <w:r>
        <w:rPr>
          <w:color w:val="0000FF"/>
        </w:rPr>
        <w:t>Please see answer to</w:t>
      </w:r>
      <w:r w:rsidR="007E4A22">
        <w:rPr>
          <w:color w:val="0000FF"/>
        </w:rPr>
        <w:t xml:space="preserve"> </w:t>
      </w:r>
      <w:r w:rsidR="002927F6">
        <w:rPr>
          <w:color w:val="0000FF"/>
        </w:rPr>
        <w:t>Question #</w:t>
      </w:r>
      <w:r>
        <w:rPr>
          <w:color w:val="0000FF"/>
        </w:rPr>
        <w:t>9 or Exhibits 2-11.</w:t>
      </w:r>
    </w:p>
    <w:p w:rsidR="00A706E7" w:rsidRPr="00A706E7" w:rsidRDefault="00A706E7" w:rsidP="00A706E7"/>
    <w:p w:rsidR="00A706E7" w:rsidRDefault="001C4A71" w:rsidP="0014738A">
      <w:pPr>
        <w:pStyle w:val="ListParagraph"/>
        <w:ind w:left="360"/>
      </w:pPr>
      <w:r>
        <w:rPr>
          <w:b/>
          <w:u w:val="single"/>
        </w:rPr>
        <w:t>Question #22</w:t>
      </w:r>
      <w:r>
        <w:rPr>
          <w:b/>
        </w:rPr>
        <w:t xml:space="preserve">: </w:t>
      </w:r>
      <w:r w:rsidR="00A706E7" w:rsidRPr="00A706E7">
        <w:t xml:space="preserve">We noticed Workers Compensation / Non-subscription </w:t>
      </w:r>
      <w:proofErr w:type="gramStart"/>
      <w:r w:rsidR="00A706E7" w:rsidRPr="00A706E7">
        <w:t>is</w:t>
      </w:r>
      <w:proofErr w:type="gramEnd"/>
      <w:r w:rsidR="00A706E7" w:rsidRPr="00A706E7">
        <w:t xml:space="preserve"> not contemplated as part of the RFP.  Does that coverage for UTP fall under UT Health’s Work Comp program?</w:t>
      </w:r>
    </w:p>
    <w:p w:rsidR="00A706E7" w:rsidRDefault="00A706E7" w:rsidP="00A706E7"/>
    <w:p w:rsidR="00A706E7" w:rsidRPr="001C4A71" w:rsidRDefault="001C4A71" w:rsidP="0014738A">
      <w:pPr>
        <w:ind w:left="360"/>
        <w:rPr>
          <w:color w:val="0000FF"/>
        </w:rPr>
      </w:pPr>
      <w:r>
        <w:rPr>
          <w:b/>
          <w:color w:val="0000FF"/>
          <w:u w:val="single"/>
        </w:rPr>
        <w:t>Answer #22</w:t>
      </w:r>
      <w:r w:rsidR="00A706E7" w:rsidRPr="00226054">
        <w:rPr>
          <w:b/>
          <w:color w:val="0000FF"/>
        </w:rPr>
        <w:t>:</w:t>
      </w:r>
      <w:r w:rsidR="000740D6" w:rsidRPr="00226054">
        <w:rPr>
          <w:b/>
          <w:color w:val="0000FF"/>
        </w:rPr>
        <w:t xml:space="preserve"> </w:t>
      </w:r>
      <w:r w:rsidR="0026298D" w:rsidRPr="001C4A71">
        <w:rPr>
          <w:color w:val="0000FF"/>
        </w:rPr>
        <w:t xml:space="preserve">No, </w:t>
      </w:r>
      <w:r w:rsidR="00A87F4E" w:rsidRPr="001C4A71">
        <w:rPr>
          <w:color w:val="0000FF"/>
        </w:rPr>
        <w:t xml:space="preserve">this falls under </w:t>
      </w:r>
      <w:proofErr w:type="spellStart"/>
      <w:r w:rsidR="00A87F4E" w:rsidRPr="001C4A71">
        <w:rPr>
          <w:color w:val="0000FF"/>
        </w:rPr>
        <w:t>Insperity</w:t>
      </w:r>
      <w:proofErr w:type="spellEnd"/>
      <w:r w:rsidR="00A87F4E" w:rsidRPr="001C4A71">
        <w:rPr>
          <w:color w:val="0000FF"/>
        </w:rPr>
        <w:t xml:space="preserve">. </w:t>
      </w:r>
    </w:p>
    <w:p w:rsidR="00A706E7" w:rsidRPr="00A706E7" w:rsidRDefault="00A706E7" w:rsidP="00A706E7"/>
    <w:p w:rsidR="000F1DAC" w:rsidRDefault="001C4A71" w:rsidP="0014738A">
      <w:pPr>
        <w:pStyle w:val="ListParagraph"/>
        <w:ind w:left="360"/>
      </w:pPr>
      <w:r>
        <w:rPr>
          <w:b/>
          <w:u w:val="single"/>
        </w:rPr>
        <w:t>Question #23</w:t>
      </w:r>
      <w:r>
        <w:rPr>
          <w:b/>
        </w:rPr>
        <w:t xml:space="preserve">: </w:t>
      </w:r>
      <w:r w:rsidR="00A706E7" w:rsidRPr="00A706E7">
        <w:t>Regarding Med Mal, do you rely on the work of a third party actuary for your professional liability exposures and limits?  If so, can you please provide a full copy of t</w:t>
      </w:r>
      <w:r w:rsidR="00A706E7">
        <w:t>he most recent actuarial report?</w:t>
      </w:r>
    </w:p>
    <w:p w:rsidR="00A706E7" w:rsidRDefault="00A706E7" w:rsidP="00A706E7"/>
    <w:p w:rsidR="00A706E7" w:rsidRPr="001C4A71" w:rsidRDefault="001C4A71" w:rsidP="0014738A">
      <w:pPr>
        <w:ind w:left="360"/>
        <w:rPr>
          <w:color w:val="0000FF"/>
        </w:rPr>
      </w:pPr>
      <w:r>
        <w:rPr>
          <w:b/>
          <w:color w:val="0000FF"/>
          <w:u w:val="single"/>
        </w:rPr>
        <w:t>Answer #23</w:t>
      </w:r>
      <w:r w:rsidR="00A706E7" w:rsidRPr="00226054">
        <w:rPr>
          <w:b/>
          <w:color w:val="0000FF"/>
        </w:rPr>
        <w:t>:</w:t>
      </w:r>
      <w:r w:rsidR="005B54FC" w:rsidRPr="00226054">
        <w:rPr>
          <w:b/>
          <w:color w:val="0000FF"/>
        </w:rPr>
        <w:t xml:space="preserve"> </w:t>
      </w:r>
      <w:r w:rsidR="00226054" w:rsidRPr="001C4A71">
        <w:rPr>
          <w:color w:val="0000FF"/>
        </w:rPr>
        <w:t>UTP has not used any actuarial service to determine the amount of coverage needed.</w:t>
      </w:r>
    </w:p>
    <w:p w:rsidR="00A706E7" w:rsidRDefault="00A706E7" w:rsidP="00A706E7"/>
    <w:p w:rsidR="00A706E7" w:rsidRDefault="001C4A71" w:rsidP="0014738A">
      <w:pPr>
        <w:pStyle w:val="ListParagraph"/>
        <w:ind w:left="360"/>
      </w:pPr>
      <w:r>
        <w:rPr>
          <w:b/>
          <w:u w:val="single"/>
        </w:rPr>
        <w:t>Question #24</w:t>
      </w:r>
      <w:r>
        <w:rPr>
          <w:b/>
        </w:rPr>
        <w:t xml:space="preserve">: </w:t>
      </w:r>
      <w:r w:rsidR="00A706E7" w:rsidRPr="00A706E7">
        <w:t>Items needed to in order to provide estimated pricing by line of coverage:</w:t>
      </w:r>
    </w:p>
    <w:p w:rsidR="001A054F" w:rsidRDefault="001A054F" w:rsidP="0014738A">
      <w:pPr>
        <w:pStyle w:val="ListParagraph"/>
        <w:numPr>
          <w:ilvl w:val="0"/>
          <w:numId w:val="4"/>
        </w:numPr>
      </w:pPr>
      <w:r w:rsidRPr="001A054F">
        <w:t>Complete physician roster with each physician’s retro date, specialty, location and # of hours (PT or FT)</w:t>
      </w:r>
      <w:r>
        <w:t>.</w:t>
      </w:r>
    </w:p>
    <w:p w:rsidR="00872114" w:rsidRPr="005B501F" w:rsidRDefault="00872114" w:rsidP="00872114">
      <w:pPr>
        <w:rPr>
          <w:b/>
        </w:rPr>
      </w:pPr>
    </w:p>
    <w:p w:rsidR="00872114" w:rsidRPr="00100DD7" w:rsidRDefault="001C4A71" w:rsidP="00872114">
      <w:pPr>
        <w:ind w:left="720"/>
        <w:rPr>
          <w:b/>
          <w:color w:val="0000FF"/>
        </w:rPr>
      </w:pPr>
      <w:r>
        <w:rPr>
          <w:b/>
          <w:color w:val="0000FF"/>
          <w:u w:val="single"/>
        </w:rPr>
        <w:t>Answer #24a</w:t>
      </w:r>
      <w:r w:rsidR="00100DD7" w:rsidRPr="00100DD7">
        <w:rPr>
          <w:b/>
          <w:color w:val="0000FF"/>
        </w:rPr>
        <w:t xml:space="preserve">: </w:t>
      </w:r>
      <w:r w:rsidR="00100DD7" w:rsidRPr="001C4A71">
        <w:rPr>
          <w:color w:val="0000FF"/>
        </w:rPr>
        <w:t>Please see Exhibit 18.</w:t>
      </w:r>
    </w:p>
    <w:p w:rsidR="00872114" w:rsidRPr="001A054F" w:rsidRDefault="00872114" w:rsidP="00872114"/>
    <w:p w:rsidR="001A054F" w:rsidRDefault="00AF1ADB" w:rsidP="0014738A">
      <w:pPr>
        <w:pStyle w:val="ListParagraph"/>
        <w:numPr>
          <w:ilvl w:val="0"/>
          <w:numId w:val="4"/>
        </w:numPr>
      </w:pPr>
      <w:r>
        <w:t>Does UTP employ</w:t>
      </w:r>
      <w:r w:rsidR="001A054F" w:rsidRPr="001A054F">
        <w:t xml:space="preserve"> any physician assistants, nurse practitioners, CRNAs or midwives?</w:t>
      </w:r>
    </w:p>
    <w:p w:rsidR="00872114" w:rsidRDefault="00872114" w:rsidP="00872114"/>
    <w:p w:rsidR="00872114" w:rsidRPr="005B501F" w:rsidRDefault="001C4A71" w:rsidP="00872114">
      <w:pPr>
        <w:ind w:left="720"/>
        <w:rPr>
          <w:b/>
          <w:color w:val="0000FF"/>
        </w:rPr>
      </w:pPr>
      <w:r>
        <w:rPr>
          <w:b/>
          <w:color w:val="0000FF"/>
          <w:u w:val="single"/>
        </w:rPr>
        <w:t>Answer #24b</w:t>
      </w:r>
      <w:r w:rsidR="00872114" w:rsidRPr="005B501F">
        <w:rPr>
          <w:b/>
          <w:color w:val="0000FF"/>
        </w:rPr>
        <w:t xml:space="preserve">: </w:t>
      </w:r>
      <w:r w:rsidR="00A87F4E" w:rsidRPr="001C4A71">
        <w:rPr>
          <w:color w:val="0000FF"/>
        </w:rPr>
        <w:t>No, all employees with direct patient access are hired by UTHealth. UTHealth employs PAs, NPs, and CRNAs.</w:t>
      </w:r>
    </w:p>
    <w:p w:rsidR="00872114" w:rsidRPr="001A054F" w:rsidRDefault="00872114" w:rsidP="00872114">
      <w:pPr>
        <w:ind w:left="720"/>
      </w:pPr>
    </w:p>
    <w:p w:rsidR="001A054F" w:rsidRDefault="001A054F" w:rsidP="0014738A">
      <w:pPr>
        <w:pStyle w:val="ListParagraph"/>
        <w:numPr>
          <w:ilvl w:val="0"/>
          <w:numId w:val="4"/>
        </w:numPr>
      </w:pPr>
      <w:r w:rsidRPr="001A054F">
        <w:lastRenderedPageBreak/>
        <w:t>We need a complete loss history for the past 7 years</w:t>
      </w:r>
    </w:p>
    <w:p w:rsidR="00872114" w:rsidRDefault="00872114" w:rsidP="00872114"/>
    <w:p w:rsidR="00872114" w:rsidRPr="005B501F" w:rsidRDefault="001C4A71" w:rsidP="00872114">
      <w:pPr>
        <w:ind w:left="720"/>
        <w:rPr>
          <w:b/>
          <w:color w:val="FF0000"/>
        </w:rPr>
      </w:pPr>
      <w:r>
        <w:rPr>
          <w:b/>
          <w:color w:val="0000FF"/>
          <w:u w:val="single"/>
        </w:rPr>
        <w:t>Answer #24c</w:t>
      </w:r>
      <w:r w:rsidR="00872114" w:rsidRPr="005B501F">
        <w:rPr>
          <w:b/>
          <w:color w:val="0000FF"/>
        </w:rPr>
        <w:t>:</w:t>
      </w:r>
      <w:r w:rsidR="005B501F">
        <w:rPr>
          <w:b/>
          <w:color w:val="0000FF"/>
        </w:rPr>
        <w:t xml:space="preserve"> </w:t>
      </w:r>
      <w:r w:rsidR="005B501F" w:rsidRPr="001C4A71">
        <w:rPr>
          <w:color w:val="0000FF"/>
        </w:rPr>
        <w:t xml:space="preserve">Please see </w:t>
      </w:r>
      <w:r w:rsidR="00893438" w:rsidRPr="001C4A71">
        <w:rPr>
          <w:color w:val="0000FF"/>
        </w:rPr>
        <w:t>Exhibit</w:t>
      </w:r>
      <w:r w:rsidR="00B56BFD" w:rsidRPr="001C4A71">
        <w:rPr>
          <w:color w:val="0000FF"/>
        </w:rPr>
        <w:t xml:space="preserve"> 1</w:t>
      </w:r>
      <w:r w:rsidR="00A87F4E" w:rsidRPr="001C4A71">
        <w:rPr>
          <w:color w:val="0000FF"/>
        </w:rPr>
        <w:t xml:space="preserve"> for 5 year loss history.</w:t>
      </w:r>
    </w:p>
    <w:p w:rsidR="00872114" w:rsidRPr="001A054F" w:rsidRDefault="00872114" w:rsidP="00872114"/>
    <w:p w:rsidR="001A054F" w:rsidRDefault="001A054F" w:rsidP="0014738A">
      <w:pPr>
        <w:pStyle w:val="ListParagraph"/>
        <w:numPr>
          <w:ilvl w:val="0"/>
          <w:numId w:val="4"/>
        </w:numPr>
      </w:pPr>
      <w:r w:rsidRPr="001A054F">
        <w:t>What is the credentialing policy for UTP?  Copies of credentialing apps for each doctor could result in better rates but not be feasible for this exercise.</w:t>
      </w:r>
    </w:p>
    <w:p w:rsidR="00872114" w:rsidRDefault="00872114" w:rsidP="00872114"/>
    <w:p w:rsidR="00872114" w:rsidRPr="001C4A71" w:rsidRDefault="001C4A71" w:rsidP="00872114">
      <w:pPr>
        <w:ind w:left="720"/>
        <w:rPr>
          <w:color w:val="0000FF"/>
        </w:rPr>
      </w:pPr>
      <w:r>
        <w:rPr>
          <w:b/>
          <w:color w:val="0000FF"/>
          <w:u w:val="single"/>
        </w:rPr>
        <w:t>Answer #24d</w:t>
      </w:r>
      <w:r w:rsidR="00872114" w:rsidRPr="00100DD7">
        <w:rPr>
          <w:b/>
          <w:color w:val="0000FF"/>
        </w:rPr>
        <w:t>:</w:t>
      </w:r>
      <w:r w:rsidR="00100DD7" w:rsidRPr="00100DD7">
        <w:rPr>
          <w:b/>
          <w:color w:val="0000FF"/>
        </w:rPr>
        <w:t xml:space="preserve"> </w:t>
      </w:r>
      <w:r w:rsidR="00100DD7" w:rsidRPr="001C4A71">
        <w:rPr>
          <w:color w:val="0000FF"/>
        </w:rPr>
        <w:t>Please see Exhibit 19.</w:t>
      </w:r>
    </w:p>
    <w:p w:rsidR="00872114" w:rsidRPr="001A054F" w:rsidRDefault="00872114" w:rsidP="00872114"/>
    <w:p w:rsidR="001A054F" w:rsidRPr="001A054F" w:rsidRDefault="001A054F" w:rsidP="0014738A">
      <w:pPr>
        <w:pStyle w:val="ListParagraph"/>
        <w:numPr>
          <w:ilvl w:val="0"/>
          <w:numId w:val="4"/>
        </w:numPr>
      </w:pPr>
      <w:r w:rsidRPr="001A054F">
        <w:t>How many records/individuals are currently handled by the UTP group in the past 12 months?</w:t>
      </w:r>
    </w:p>
    <w:p w:rsidR="001A054F" w:rsidRDefault="001A054F" w:rsidP="001A054F">
      <w:pPr>
        <w:pStyle w:val="ListParagraph"/>
        <w:ind w:left="1080"/>
      </w:pPr>
    </w:p>
    <w:p w:rsidR="00A706E7" w:rsidRPr="005B501F" w:rsidRDefault="001C4A71" w:rsidP="00872114">
      <w:pPr>
        <w:ind w:firstLine="720"/>
        <w:rPr>
          <w:b/>
          <w:color w:val="0000FF"/>
        </w:rPr>
      </w:pPr>
      <w:r>
        <w:rPr>
          <w:b/>
          <w:color w:val="0000FF"/>
          <w:u w:val="single"/>
        </w:rPr>
        <w:t>Answer #24e</w:t>
      </w:r>
      <w:r w:rsidR="001A054F" w:rsidRPr="005B501F">
        <w:rPr>
          <w:b/>
          <w:color w:val="0000FF"/>
        </w:rPr>
        <w:t>:</w:t>
      </w:r>
      <w:r w:rsidR="00A87F4E" w:rsidRPr="005B501F">
        <w:rPr>
          <w:b/>
          <w:color w:val="0000FF"/>
        </w:rPr>
        <w:t xml:space="preserve">  </w:t>
      </w:r>
      <w:r w:rsidR="00A87F4E" w:rsidRPr="001C4A71">
        <w:rPr>
          <w:color w:val="0000FF"/>
        </w:rPr>
        <w:t>Please see answer to</w:t>
      </w:r>
      <w:r w:rsidR="007E4A22">
        <w:rPr>
          <w:color w:val="0000FF"/>
        </w:rPr>
        <w:t xml:space="preserve"> Question </w:t>
      </w:r>
      <w:r w:rsidR="00A87F4E" w:rsidRPr="001C4A71">
        <w:rPr>
          <w:color w:val="0000FF"/>
        </w:rPr>
        <w:t>#2.</w:t>
      </w:r>
    </w:p>
    <w:p w:rsidR="00A706E7" w:rsidRPr="00A706E7" w:rsidRDefault="00A706E7" w:rsidP="00A706E7"/>
    <w:p w:rsidR="001A054F" w:rsidRDefault="001C4A71" w:rsidP="0014738A">
      <w:pPr>
        <w:pStyle w:val="ListParagraph"/>
        <w:ind w:left="360"/>
      </w:pPr>
      <w:r>
        <w:rPr>
          <w:b/>
          <w:u w:val="single"/>
        </w:rPr>
        <w:t>Question #25</w:t>
      </w:r>
      <w:r>
        <w:rPr>
          <w:b/>
        </w:rPr>
        <w:t xml:space="preserve">: </w:t>
      </w:r>
      <w:r w:rsidR="001A054F" w:rsidRPr="001A054F">
        <w:t>Does the business personal property limit include special medical equipment?  Can we obtain a listing of this equipment, as it may be preferable to cover this equipment on a ph</w:t>
      </w:r>
      <w:r w:rsidR="001A054F">
        <w:t>ysician’s floater coverage part?</w:t>
      </w:r>
    </w:p>
    <w:p w:rsidR="001A054F" w:rsidRDefault="001A054F" w:rsidP="001A054F"/>
    <w:p w:rsidR="001A054F" w:rsidRPr="005B501F" w:rsidRDefault="001C4A71" w:rsidP="0014738A">
      <w:pPr>
        <w:ind w:left="360"/>
        <w:rPr>
          <w:b/>
          <w:color w:val="0000FF"/>
        </w:rPr>
      </w:pPr>
      <w:r>
        <w:rPr>
          <w:b/>
          <w:color w:val="0000FF"/>
          <w:u w:val="single"/>
        </w:rPr>
        <w:t>Answer #25</w:t>
      </w:r>
      <w:r w:rsidR="001A054F" w:rsidRPr="005B501F">
        <w:rPr>
          <w:b/>
          <w:color w:val="0000FF"/>
        </w:rPr>
        <w:t>:</w:t>
      </w:r>
      <w:r w:rsidR="00872114" w:rsidRPr="001C4A71">
        <w:rPr>
          <w:color w:val="0000FF"/>
        </w:rPr>
        <w:t xml:space="preserve"> </w:t>
      </w:r>
      <w:r w:rsidR="002E4A3A" w:rsidRPr="001C4A71">
        <w:rPr>
          <w:color w:val="0000FF"/>
        </w:rPr>
        <w:t>It covers all business and personal property which includes medical equipment. This information is not maintained centrally.</w:t>
      </w:r>
    </w:p>
    <w:p w:rsidR="001A054F" w:rsidRPr="001A054F" w:rsidRDefault="001A054F" w:rsidP="001A054F"/>
    <w:p w:rsidR="001A054F" w:rsidRDefault="001C4A71" w:rsidP="0014738A">
      <w:pPr>
        <w:pStyle w:val="ListParagraph"/>
        <w:ind w:left="360"/>
      </w:pPr>
      <w:r>
        <w:rPr>
          <w:b/>
          <w:u w:val="single"/>
        </w:rPr>
        <w:t>Question #26</w:t>
      </w:r>
      <w:r>
        <w:rPr>
          <w:b/>
        </w:rPr>
        <w:t xml:space="preserve">: </w:t>
      </w:r>
      <w:r w:rsidR="001A054F" w:rsidRPr="001A054F">
        <w:t>Please provide construction, year b</w:t>
      </w:r>
      <w:r w:rsidR="001A054F">
        <w:t>ui</w:t>
      </w:r>
      <w:r w:rsidR="001A054F" w:rsidRPr="001A054F">
        <w:t>lt/update information and whether the b</w:t>
      </w:r>
      <w:r w:rsidR="001A054F">
        <w:t>ui</w:t>
      </w:r>
      <w:r w:rsidR="001A054F" w:rsidRPr="001A054F">
        <w:t>ld</w:t>
      </w:r>
      <w:r w:rsidR="001A054F">
        <w:t>in</w:t>
      </w:r>
      <w:r w:rsidR="001A054F" w:rsidRPr="001A054F">
        <w:t xml:space="preserve">g is </w:t>
      </w:r>
      <w:proofErr w:type="spellStart"/>
      <w:r w:rsidR="001A054F" w:rsidRPr="001A054F">
        <w:t>sprinklered</w:t>
      </w:r>
      <w:proofErr w:type="spellEnd"/>
      <w:r w:rsidR="001A054F" w:rsidRPr="001A054F">
        <w:t xml:space="preserve"> for all locations. Some locations reflect multiple year b</w:t>
      </w:r>
      <w:r w:rsidR="001A054F">
        <w:t>ui</w:t>
      </w:r>
      <w:r w:rsidR="001A054F" w:rsidRPr="001A054F">
        <w:t>lt dates, but not explanation of what was updated.</w:t>
      </w:r>
    </w:p>
    <w:p w:rsidR="001A054F" w:rsidRDefault="001A054F" w:rsidP="001A054F"/>
    <w:p w:rsidR="001A054F" w:rsidRPr="005B501F" w:rsidRDefault="001C4A71" w:rsidP="0014738A">
      <w:pPr>
        <w:ind w:left="360"/>
        <w:rPr>
          <w:b/>
          <w:color w:val="0000FF"/>
        </w:rPr>
      </w:pPr>
      <w:r>
        <w:rPr>
          <w:b/>
          <w:color w:val="0000FF"/>
          <w:u w:val="single"/>
        </w:rPr>
        <w:t>Answer #26</w:t>
      </w:r>
      <w:r w:rsidR="001A054F" w:rsidRPr="005B501F">
        <w:rPr>
          <w:b/>
          <w:color w:val="0000FF"/>
        </w:rPr>
        <w:t>:</w:t>
      </w:r>
      <w:r w:rsidR="00872114" w:rsidRPr="005B501F">
        <w:rPr>
          <w:b/>
          <w:color w:val="0000FF"/>
        </w:rPr>
        <w:t xml:space="preserve"> </w:t>
      </w:r>
      <w:r w:rsidR="00B56BFD" w:rsidRPr="001C4A71">
        <w:rPr>
          <w:color w:val="0000FF"/>
        </w:rPr>
        <w:t xml:space="preserve">Please see </w:t>
      </w:r>
      <w:r w:rsidR="00893438" w:rsidRPr="001C4A71">
        <w:rPr>
          <w:color w:val="0000FF"/>
        </w:rPr>
        <w:t>Exhibit</w:t>
      </w:r>
      <w:r w:rsidR="00B56BFD" w:rsidRPr="001C4A71">
        <w:rPr>
          <w:color w:val="0000FF"/>
        </w:rPr>
        <w:t xml:space="preserve"> 17</w:t>
      </w:r>
      <w:r w:rsidR="00952F4F" w:rsidRPr="001C4A71">
        <w:rPr>
          <w:color w:val="0000FF"/>
        </w:rPr>
        <w:t xml:space="preserve"> (refer to columns “T”, “W”, and “Y” for specifics).</w:t>
      </w:r>
    </w:p>
    <w:p w:rsidR="001A054F" w:rsidRPr="001A054F" w:rsidRDefault="001A054F" w:rsidP="001A054F"/>
    <w:p w:rsidR="001A054F" w:rsidRDefault="001C4A71" w:rsidP="0014738A">
      <w:pPr>
        <w:pStyle w:val="ListParagraph"/>
        <w:ind w:left="360"/>
      </w:pPr>
      <w:r>
        <w:rPr>
          <w:b/>
          <w:u w:val="single"/>
        </w:rPr>
        <w:t>Question #27</w:t>
      </w:r>
      <w:r>
        <w:rPr>
          <w:b/>
        </w:rPr>
        <w:t xml:space="preserve">: </w:t>
      </w:r>
      <w:r w:rsidR="001A054F" w:rsidRPr="001A054F">
        <w:t>I have noticed that the insured is the tenant in most of these bldgs.  Per the lease agreement, I assume that only where reflected on the attached schedule, the insured is responsible for insuring tenant’s improvements and betterments. It appears that, other than the one land lease, none of the leases</w:t>
      </w:r>
      <w:r>
        <w:t xml:space="preserve"> require the insured to provide </w:t>
      </w:r>
      <w:r w:rsidR="001A054F" w:rsidRPr="001A054F">
        <w:t>b</w:t>
      </w:r>
      <w:r w:rsidR="00872114">
        <w:t>ui</w:t>
      </w:r>
      <w:r w:rsidR="001A054F" w:rsidRPr="001A054F">
        <w:t>ld</w:t>
      </w:r>
      <w:r w:rsidR="00872114">
        <w:t>in</w:t>
      </w:r>
      <w:r w:rsidR="001A054F" w:rsidRPr="001A054F">
        <w:t>g coverage.  Correct?</w:t>
      </w:r>
    </w:p>
    <w:p w:rsidR="001A054F" w:rsidRDefault="001A054F" w:rsidP="001A054F"/>
    <w:p w:rsidR="001A054F" w:rsidRPr="005B501F" w:rsidRDefault="001C4A71" w:rsidP="0014738A">
      <w:pPr>
        <w:ind w:left="360"/>
        <w:rPr>
          <w:b/>
          <w:color w:val="FF0000"/>
        </w:rPr>
      </w:pPr>
      <w:r>
        <w:rPr>
          <w:b/>
          <w:color w:val="0000FF"/>
          <w:u w:val="single"/>
        </w:rPr>
        <w:t>Answer #27</w:t>
      </w:r>
      <w:r w:rsidR="001A054F" w:rsidRPr="005B501F">
        <w:rPr>
          <w:b/>
          <w:color w:val="0000FF"/>
        </w:rPr>
        <w:t>:</w:t>
      </w:r>
      <w:r w:rsidR="00872114" w:rsidRPr="001C4A71">
        <w:rPr>
          <w:color w:val="0000FF"/>
        </w:rPr>
        <w:t xml:space="preserve"> </w:t>
      </w:r>
      <w:r w:rsidR="00952F4F" w:rsidRPr="001C4A71">
        <w:rPr>
          <w:color w:val="0000FF"/>
        </w:rPr>
        <w:t>Yes, this is correct.</w:t>
      </w:r>
    </w:p>
    <w:p w:rsidR="001A054F" w:rsidRPr="001A054F" w:rsidRDefault="001A054F" w:rsidP="001A054F"/>
    <w:p w:rsidR="001A054F" w:rsidRDefault="001C4A71" w:rsidP="0014738A">
      <w:pPr>
        <w:pStyle w:val="ListParagraph"/>
        <w:ind w:left="360"/>
      </w:pPr>
      <w:r>
        <w:rPr>
          <w:b/>
          <w:u w:val="single"/>
        </w:rPr>
        <w:t>Question #28</w:t>
      </w:r>
      <w:r>
        <w:rPr>
          <w:b/>
        </w:rPr>
        <w:t xml:space="preserve">: </w:t>
      </w:r>
      <w:r w:rsidR="001A054F" w:rsidRPr="001A054F">
        <w:t xml:space="preserve">Other than the </w:t>
      </w:r>
      <w:proofErr w:type="spellStart"/>
      <w:r w:rsidR="001A054F" w:rsidRPr="001A054F">
        <w:t>vrs</w:t>
      </w:r>
      <w:proofErr w:type="spellEnd"/>
      <w:r w:rsidR="001A054F" w:rsidRPr="001A054F">
        <w:t xml:space="preserve"> NFIP flood policies, does the insured have any other flood coverage in place?  In other words, does the property carrier provide coverage excess of these flood policies?  Do they provide 1st $ flood for any of these b</w:t>
      </w:r>
      <w:r w:rsidR="001A054F">
        <w:t>ui</w:t>
      </w:r>
      <w:r w:rsidR="001A054F" w:rsidRPr="001A054F">
        <w:t>ld</w:t>
      </w:r>
      <w:r w:rsidR="001A054F">
        <w:t>in</w:t>
      </w:r>
      <w:r w:rsidR="001A054F" w:rsidRPr="001A054F">
        <w:t>gs?</w:t>
      </w:r>
    </w:p>
    <w:p w:rsidR="001A054F" w:rsidRDefault="001A054F" w:rsidP="001A054F"/>
    <w:p w:rsidR="001A054F" w:rsidRPr="005B501F" w:rsidRDefault="001C4A71" w:rsidP="0014738A">
      <w:pPr>
        <w:ind w:left="360"/>
        <w:rPr>
          <w:b/>
          <w:color w:val="0000FF"/>
        </w:rPr>
      </w:pPr>
      <w:r>
        <w:rPr>
          <w:b/>
          <w:color w:val="0000FF"/>
          <w:u w:val="single"/>
        </w:rPr>
        <w:t>Answer #28</w:t>
      </w:r>
      <w:r w:rsidR="001A054F" w:rsidRPr="005B501F">
        <w:rPr>
          <w:b/>
          <w:color w:val="0000FF"/>
        </w:rPr>
        <w:t>:</w:t>
      </w:r>
      <w:r w:rsidR="00952F4F" w:rsidRPr="005B501F">
        <w:rPr>
          <w:b/>
          <w:color w:val="0000FF"/>
        </w:rPr>
        <w:t xml:space="preserve"> </w:t>
      </w:r>
      <w:r w:rsidR="00952F4F" w:rsidRPr="001C4A71">
        <w:rPr>
          <w:color w:val="0000FF"/>
        </w:rPr>
        <w:t>Yes, the current commercial property policy also provides a blanket flood sub-limit of $2.5 annual aggregate at all locations.</w:t>
      </w:r>
    </w:p>
    <w:p w:rsidR="001A054F" w:rsidRPr="001A054F" w:rsidRDefault="001A054F" w:rsidP="001A054F"/>
    <w:p w:rsidR="001A054F" w:rsidRDefault="001C4A71" w:rsidP="0014738A">
      <w:pPr>
        <w:pStyle w:val="ListParagraph"/>
        <w:ind w:left="360"/>
      </w:pPr>
      <w:r>
        <w:rPr>
          <w:b/>
          <w:u w:val="single"/>
        </w:rPr>
        <w:t>Question #29</w:t>
      </w:r>
      <w:r>
        <w:rPr>
          <w:b/>
        </w:rPr>
        <w:t xml:space="preserve">: </w:t>
      </w:r>
      <w:r w:rsidR="001A054F" w:rsidRPr="001A054F">
        <w:t>We will need 5 years of currently valued loss runs</w:t>
      </w:r>
      <w:r w:rsidR="001A054F">
        <w:t>.</w:t>
      </w:r>
    </w:p>
    <w:p w:rsidR="001A054F" w:rsidRDefault="001A054F" w:rsidP="001A054F"/>
    <w:p w:rsidR="001A054F" w:rsidRPr="00F4346E" w:rsidRDefault="001C4A71" w:rsidP="0014738A">
      <w:pPr>
        <w:ind w:left="360"/>
        <w:rPr>
          <w:color w:val="0000FF"/>
        </w:rPr>
      </w:pPr>
      <w:r>
        <w:rPr>
          <w:b/>
          <w:color w:val="0000FF"/>
          <w:u w:val="single"/>
        </w:rPr>
        <w:t>Answer #29</w:t>
      </w:r>
      <w:r w:rsidR="001A054F" w:rsidRPr="005B501F">
        <w:rPr>
          <w:b/>
          <w:color w:val="0000FF"/>
        </w:rPr>
        <w:t>:</w:t>
      </w:r>
      <w:r w:rsidR="00872114" w:rsidRPr="005B501F">
        <w:rPr>
          <w:b/>
          <w:color w:val="0000FF"/>
        </w:rPr>
        <w:t xml:space="preserve"> </w:t>
      </w:r>
      <w:r w:rsidR="00872114" w:rsidRPr="00F4346E">
        <w:rPr>
          <w:color w:val="0000FF"/>
        </w:rPr>
        <w:t xml:space="preserve">Please see answer to </w:t>
      </w:r>
      <w:r w:rsidR="007E4A22">
        <w:rPr>
          <w:color w:val="0000FF"/>
        </w:rPr>
        <w:t xml:space="preserve">Question </w:t>
      </w:r>
      <w:r w:rsidR="002927F6">
        <w:rPr>
          <w:color w:val="0000FF"/>
        </w:rPr>
        <w:t>#5</w:t>
      </w:r>
      <w:r w:rsidR="00B56BFD" w:rsidRPr="00F4346E">
        <w:rPr>
          <w:color w:val="0000FF"/>
        </w:rPr>
        <w:t xml:space="preserve"> or </w:t>
      </w:r>
      <w:r w:rsidR="00893438" w:rsidRPr="00F4346E">
        <w:rPr>
          <w:color w:val="0000FF"/>
        </w:rPr>
        <w:t>Exhibit</w:t>
      </w:r>
      <w:r w:rsidR="00B56BFD" w:rsidRPr="00F4346E">
        <w:rPr>
          <w:color w:val="0000FF"/>
        </w:rPr>
        <w:t xml:space="preserve"> 1</w:t>
      </w:r>
      <w:r w:rsidR="00952F4F" w:rsidRPr="00F4346E">
        <w:rPr>
          <w:color w:val="0000FF"/>
        </w:rPr>
        <w:t>.</w:t>
      </w:r>
    </w:p>
    <w:p w:rsidR="001A054F" w:rsidRPr="001A054F" w:rsidRDefault="001A054F" w:rsidP="001A054F"/>
    <w:p w:rsidR="001A054F" w:rsidRDefault="001C4A71" w:rsidP="0014738A">
      <w:pPr>
        <w:pStyle w:val="ListParagraph"/>
        <w:ind w:left="360"/>
      </w:pPr>
      <w:r>
        <w:rPr>
          <w:b/>
          <w:u w:val="single"/>
        </w:rPr>
        <w:t>Question #30</w:t>
      </w:r>
      <w:r>
        <w:rPr>
          <w:b/>
        </w:rPr>
        <w:t xml:space="preserve">: </w:t>
      </w:r>
      <w:r w:rsidR="001A054F" w:rsidRPr="001A054F">
        <w:t>We will need a complete named insured listing with % of ownership information</w:t>
      </w:r>
      <w:r w:rsidR="001A054F">
        <w:t>.</w:t>
      </w:r>
    </w:p>
    <w:p w:rsidR="001A054F" w:rsidRDefault="001A054F" w:rsidP="001A054F"/>
    <w:p w:rsidR="001A054F" w:rsidRPr="005B501F" w:rsidRDefault="001C4A71" w:rsidP="0014738A">
      <w:pPr>
        <w:ind w:left="360"/>
        <w:rPr>
          <w:b/>
          <w:color w:val="0000FF"/>
        </w:rPr>
      </w:pPr>
      <w:r>
        <w:rPr>
          <w:b/>
          <w:color w:val="0000FF"/>
          <w:u w:val="single"/>
        </w:rPr>
        <w:t>Answer #30</w:t>
      </w:r>
      <w:r w:rsidR="001A054F" w:rsidRPr="005B501F">
        <w:rPr>
          <w:b/>
          <w:color w:val="0000FF"/>
        </w:rPr>
        <w:t>:</w:t>
      </w:r>
      <w:r w:rsidR="00872114" w:rsidRPr="005B501F">
        <w:rPr>
          <w:b/>
          <w:color w:val="0000FF"/>
        </w:rPr>
        <w:t xml:space="preserve"> </w:t>
      </w:r>
      <w:r w:rsidR="00952F4F" w:rsidRPr="00F4346E">
        <w:rPr>
          <w:color w:val="0000FF"/>
        </w:rPr>
        <w:t>UTP is a 501 (C) (3) Corporation.</w:t>
      </w:r>
    </w:p>
    <w:p w:rsidR="001A054F" w:rsidRPr="001A054F" w:rsidRDefault="001A054F" w:rsidP="001A054F"/>
    <w:p w:rsidR="001A054F" w:rsidRDefault="00342F15" w:rsidP="0014738A">
      <w:pPr>
        <w:pStyle w:val="ListParagraph"/>
        <w:ind w:left="360"/>
      </w:pPr>
      <w:r>
        <w:rPr>
          <w:b/>
          <w:u w:val="single"/>
        </w:rPr>
        <w:t>Question #31</w:t>
      </w:r>
      <w:r>
        <w:rPr>
          <w:b/>
        </w:rPr>
        <w:t xml:space="preserve">: </w:t>
      </w:r>
      <w:r w:rsidR="001A054F" w:rsidRPr="001A054F">
        <w:t>We will need current financials</w:t>
      </w:r>
      <w:r w:rsidR="001A054F">
        <w:t>.</w:t>
      </w:r>
    </w:p>
    <w:p w:rsidR="001A054F" w:rsidRDefault="001A054F" w:rsidP="001A054F"/>
    <w:p w:rsidR="001A054F" w:rsidRPr="005B501F" w:rsidRDefault="00342F15" w:rsidP="0014738A">
      <w:pPr>
        <w:ind w:left="360"/>
        <w:rPr>
          <w:b/>
          <w:color w:val="FF0000"/>
        </w:rPr>
      </w:pPr>
      <w:r>
        <w:rPr>
          <w:b/>
          <w:color w:val="0000FF"/>
          <w:u w:val="single"/>
        </w:rPr>
        <w:t>Answer #31</w:t>
      </w:r>
      <w:r w:rsidR="001A054F" w:rsidRPr="005B501F">
        <w:rPr>
          <w:b/>
          <w:color w:val="0000FF"/>
        </w:rPr>
        <w:t>:</w:t>
      </w:r>
      <w:r w:rsidR="00872114" w:rsidRPr="005B501F">
        <w:rPr>
          <w:b/>
          <w:color w:val="0000FF"/>
        </w:rPr>
        <w:t xml:space="preserve"> </w:t>
      </w:r>
      <w:r w:rsidR="00872114" w:rsidRPr="00F4346E">
        <w:rPr>
          <w:color w:val="0000FF"/>
        </w:rPr>
        <w:t>Please see ans</w:t>
      </w:r>
      <w:r w:rsidR="00952F4F" w:rsidRPr="00F4346E">
        <w:rPr>
          <w:color w:val="0000FF"/>
        </w:rPr>
        <w:t xml:space="preserve">wer to </w:t>
      </w:r>
      <w:r w:rsidR="00B56BFD" w:rsidRPr="00F4346E">
        <w:rPr>
          <w:color w:val="0000FF"/>
        </w:rPr>
        <w:t xml:space="preserve">#11 or </w:t>
      </w:r>
      <w:r w:rsidR="00893438" w:rsidRPr="00F4346E">
        <w:rPr>
          <w:color w:val="0000FF"/>
        </w:rPr>
        <w:t>Exhibit</w:t>
      </w:r>
      <w:r w:rsidR="00B56BFD" w:rsidRPr="00F4346E">
        <w:rPr>
          <w:color w:val="0000FF"/>
        </w:rPr>
        <w:t xml:space="preserve"> 14 &amp; 15</w:t>
      </w:r>
      <w:r w:rsidR="00952F4F" w:rsidRPr="00F4346E">
        <w:rPr>
          <w:color w:val="0000FF"/>
        </w:rPr>
        <w:t>.</w:t>
      </w:r>
    </w:p>
    <w:p w:rsidR="001A054F" w:rsidRDefault="001A054F" w:rsidP="001A054F"/>
    <w:p w:rsidR="001A054F" w:rsidRPr="001A054F" w:rsidRDefault="001A054F" w:rsidP="00AF1ADB"/>
    <w:p w:rsidR="00A706E7" w:rsidRDefault="00A706E7" w:rsidP="001A054F">
      <w:pPr>
        <w:pStyle w:val="ListParagraph"/>
        <w:ind w:left="360"/>
      </w:pPr>
    </w:p>
    <w:sectPr w:rsidR="00A706E7" w:rsidSect="001A05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3E73"/>
    <w:multiLevelType w:val="hybridMultilevel"/>
    <w:tmpl w:val="B166498C"/>
    <w:lvl w:ilvl="0" w:tplc="F2F8AB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330656"/>
    <w:multiLevelType w:val="hybridMultilevel"/>
    <w:tmpl w:val="6F326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875BFA"/>
    <w:multiLevelType w:val="hybridMultilevel"/>
    <w:tmpl w:val="48B24B2A"/>
    <w:lvl w:ilvl="0" w:tplc="98A0BDF6">
      <w:start w:val="1"/>
      <w:numFmt w:val="bullet"/>
      <w:lvlText w:val="·"/>
      <w:lvlJc w:val="left"/>
      <w:pPr>
        <w:ind w:left="1080" w:hanging="360"/>
      </w:pPr>
      <w:rPr>
        <w:rFonts w:ascii="Courier New" w:hAnsi="Courier New" w:hint="default"/>
      </w:rPr>
    </w:lvl>
    <w:lvl w:ilvl="1" w:tplc="8604DDB6">
      <w:start w:val="1"/>
      <w:numFmt w:val="bullet"/>
      <w:lvlText w:val="˗"/>
      <w:lvlJc w:val="left"/>
      <w:pPr>
        <w:ind w:left="1800" w:hanging="360"/>
      </w:pPr>
      <w:rPr>
        <w:rFonts w:ascii="Calibri Light" w:hAnsi="Calibri Light"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9A47B2"/>
    <w:multiLevelType w:val="hybridMultilevel"/>
    <w:tmpl w:val="0C1030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B92"/>
    <w:rsid w:val="00024418"/>
    <w:rsid w:val="000740D6"/>
    <w:rsid w:val="000E6156"/>
    <w:rsid w:val="000F1DAC"/>
    <w:rsid w:val="00100DD7"/>
    <w:rsid w:val="00106157"/>
    <w:rsid w:val="00137FEB"/>
    <w:rsid w:val="0014738A"/>
    <w:rsid w:val="0018107D"/>
    <w:rsid w:val="00195303"/>
    <w:rsid w:val="001A054F"/>
    <w:rsid w:val="001A5A18"/>
    <w:rsid w:val="001C4A71"/>
    <w:rsid w:val="001C7A20"/>
    <w:rsid w:val="00226054"/>
    <w:rsid w:val="0026298D"/>
    <w:rsid w:val="002864BC"/>
    <w:rsid w:val="002927F6"/>
    <w:rsid w:val="002E4A3A"/>
    <w:rsid w:val="00342F15"/>
    <w:rsid w:val="0041495C"/>
    <w:rsid w:val="00523609"/>
    <w:rsid w:val="005B1416"/>
    <w:rsid w:val="005B501F"/>
    <w:rsid w:val="005B54FC"/>
    <w:rsid w:val="005C00D4"/>
    <w:rsid w:val="005C096B"/>
    <w:rsid w:val="005D7B39"/>
    <w:rsid w:val="00641D6A"/>
    <w:rsid w:val="006533FA"/>
    <w:rsid w:val="006C68D5"/>
    <w:rsid w:val="007E4A22"/>
    <w:rsid w:val="00860A6F"/>
    <w:rsid w:val="00872114"/>
    <w:rsid w:val="00893438"/>
    <w:rsid w:val="008B5A17"/>
    <w:rsid w:val="00945D4C"/>
    <w:rsid w:val="00952F4F"/>
    <w:rsid w:val="0099590B"/>
    <w:rsid w:val="00A038AA"/>
    <w:rsid w:val="00A260C5"/>
    <w:rsid w:val="00A706E7"/>
    <w:rsid w:val="00A87F4E"/>
    <w:rsid w:val="00AA0981"/>
    <w:rsid w:val="00AC5C63"/>
    <w:rsid w:val="00AF1ADB"/>
    <w:rsid w:val="00AF3B92"/>
    <w:rsid w:val="00B56BFD"/>
    <w:rsid w:val="00BE2641"/>
    <w:rsid w:val="00C35972"/>
    <w:rsid w:val="00D92E58"/>
    <w:rsid w:val="00E44742"/>
    <w:rsid w:val="00EF770E"/>
    <w:rsid w:val="00F06614"/>
    <w:rsid w:val="00F4346E"/>
    <w:rsid w:val="00F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92"/>
    <w:pPr>
      <w:ind w:left="720"/>
      <w:contextualSpacing/>
    </w:pPr>
  </w:style>
  <w:style w:type="paragraph" w:styleId="BalloonText">
    <w:name w:val="Balloon Text"/>
    <w:basedOn w:val="Normal"/>
    <w:link w:val="BalloonTextChar"/>
    <w:uiPriority w:val="99"/>
    <w:semiHidden/>
    <w:unhideWhenUsed/>
    <w:rsid w:val="00AA0981"/>
    <w:rPr>
      <w:rFonts w:ascii="Tahoma" w:hAnsi="Tahoma" w:cs="Tahoma"/>
      <w:sz w:val="16"/>
      <w:szCs w:val="16"/>
    </w:rPr>
  </w:style>
  <w:style w:type="character" w:customStyle="1" w:styleId="BalloonTextChar">
    <w:name w:val="Balloon Text Char"/>
    <w:basedOn w:val="DefaultParagraphFont"/>
    <w:link w:val="BalloonText"/>
    <w:uiPriority w:val="99"/>
    <w:semiHidden/>
    <w:rsid w:val="00AA0981"/>
    <w:rPr>
      <w:rFonts w:ascii="Tahoma" w:hAnsi="Tahoma" w:cs="Tahoma"/>
      <w:sz w:val="16"/>
      <w:szCs w:val="16"/>
    </w:rPr>
  </w:style>
  <w:style w:type="table" w:styleId="TableGrid">
    <w:name w:val="Table Grid"/>
    <w:basedOn w:val="TableNormal"/>
    <w:uiPriority w:val="59"/>
    <w:rsid w:val="00AC5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92"/>
    <w:pPr>
      <w:ind w:left="720"/>
      <w:contextualSpacing/>
    </w:pPr>
  </w:style>
  <w:style w:type="paragraph" w:styleId="BalloonText">
    <w:name w:val="Balloon Text"/>
    <w:basedOn w:val="Normal"/>
    <w:link w:val="BalloonTextChar"/>
    <w:uiPriority w:val="99"/>
    <w:semiHidden/>
    <w:unhideWhenUsed/>
    <w:rsid w:val="00AA0981"/>
    <w:rPr>
      <w:rFonts w:ascii="Tahoma" w:hAnsi="Tahoma" w:cs="Tahoma"/>
      <w:sz w:val="16"/>
      <w:szCs w:val="16"/>
    </w:rPr>
  </w:style>
  <w:style w:type="character" w:customStyle="1" w:styleId="BalloonTextChar">
    <w:name w:val="Balloon Text Char"/>
    <w:basedOn w:val="DefaultParagraphFont"/>
    <w:link w:val="BalloonText"/>
    <w:uiPriority w:val="99"/>
    <w:semiHidden/>
    <w:rsid w:val="00AA0981"/>
    <w:rPr>
      <w:rFonts w:ascii="Tahoma" w:hAnsi="Tahoma" w:cs="Tahoma"/>
      <w:sz w:val="16"/>
      <w:szCs w:val="16"/>
    </w:rPr>
  </w:style>
  <w:style w:type="table" w:styleId="TableGrid">
    <w:name w:val="Table Grid"/>
    <w:basedOn w:val="TableNormal"/>
    <w:uiPriority w:val="59"/>
    <w:rsid w:val="00AC5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531">
      <w:bodyDiv w:val="1"/>
      <w:marLeft w:val="0"/>
      <w:marRight w:val="0"/>
      <w:marTop w:val="0"/>
      <w:marBottom w:val="0"/>
      <w:divBdr>
        <w:top w:val="none" w:sz="0" w:space="0" w:color="auto"/>
        <w:left w:val="none" w:sz="0" w:space="0" w:color="auto"/>
        <w:bottom w:val="none" w:sz="0" w:space="0" w:color="auto"/>
        <w:right w:val="none" w:sz="0" w:space="0" w:color="auto"/>
      </w:divBdr>
    </w:div>
    <w:div w:id="130103185">
      <w:bodyDiv w:val="1"/>
      <w:marLeft w:val="0"/>
      <w:marRight w:val="0"/>
      <w:marTop w:val="0"/>
      <w:marBottom w:val="0"/>
      <w:divBdr>
        <w:top w:val="none" w:sz="0" w:space="0" w:color="auto"/>
        <w:left w:val="none" w:sz="0" w:space="0" w:color="auto"/>
        <w:bottom w:val="none" w:sz="0" w:space="0" w:color="auto"/>
        <w:right w:val="none" w:sz="0" w:space="0" w:color="auto"/>
      </w:divBdr>
    </w:div>
    <w:div w:id="219946039">
      <w:bodyDiv w:val="1"/>
      <w:marLeft w:val="0"/>
      <w:marRight w:val="0"/>
      <w:marTop w:val="0"/>
      <w:marBottom w:val="0"/>
      <w:divBdr>
        <w:top w:val="none" w:sz="0" w:space="0" w:color="auto"/>
        <w:left w:val="none" w:sz="0" w:space="0" w:color="auto"/>
        <w:bottom w:val="none" w:sz="0" w:space="0" w:color="auto"/>
        <w:right w:val="none" w:sz="0" w:space="0" w:color="auto"/>
      </w:divBdr>
    </w:div>
    <w:div w:id="254754327">
      <w:bodyDiv w:val="1"/>
      <w:marLeft w:val="0"/>
      <w:marRight w:val="0"/>
      <w:marTop w:val="0"/>
      <w:marBottom w:val="0"/>
      <w:divBdr>
        <w:top w:val="none" w:sz="0" w:space="0" w:color="auto"/>
        <w:left w:val="none" w:sz="0" w:space="0" w:color="auto"/>
        <w:bottom w:val="none" w:sz="0" w:space="0" w:color="auto"/>
        <w:right w:val="none" w:sz="0" w:space="0" w:color="auto"/>
      </w:divBdr>
    </w:div>
    <w:div w:id="261765231">
      <w:bodyDiv w:val="1"/>
      <w:marLeft w:val="0"/>
      <w:marRight w:val="0"/>
      <w:marTop w:val="0"/>
      <w:marBottom w:val="0"/>
      <w:divBdr>
        <w:top w:val="none" w:sz="0" w:space="0" w:color="auto"/>
        <w:left w:val="none" w:sz="0" w:space="0" w:color="auto"/>
        <w:bottom w:val="none" w:sz="0" w:space="0" w:color="auto"/>
        <w:right w:val="none" w:sz="0" w:space="0" w:color="auto"/>
      </w:divBdr>
    </w:div>
    <w:div w:id="306740969">
      <w:bodyDiv w:val="1"/>
      <w:marLeft w:val="0"/>
      <w:marRight w:val="0"/>
      <w:marTop w:val="0"/>
      <w:marBottom w:val="0"/>
      <w:divBdr>
        <w:top w:val="none" w:sz="0" w:space="0" w:color="auto"/>
        <w:left w:val="none" w:sz="0" w:space="0" w:color="auto"/>
        <w:bottom w:val="none" w:sz="0" w:space="0" w:color="auto"/>
        <w:right w:val="none" w:sz="0" w:space="0" w:color="auto"/>
      </w:divBdr>
    </w:div>
    <w:div w:id="331685661">
      <w:bodyDiv w:val="1"/>
      <w:marLeft w:val="0"/>
      <w:marRight w:val="0"/>
      <w:marTop w:val="0"/>
      <w:marBottom w:val="0"/>
      <w:divBdr>
        <w:top w:val="none" w:sz="0" w:space="0" w:color="auto"/>
        <w:left w:val="none" w:sz="0" w:space="0" w:color="auto"/>
        <w:bottom w:val="none" w:sz="0" w:space="0" w:color="auto"/>
        <w:right w:val="none" w:sz="0" w:space="0" w:color="auto"/>
      </w:divBdr>
    </w:div>
    <w:div w:id="381370575">
      <w:bodyDiv w:val="1"/>
      <w:marLeft w:val="0"/>
      <w:marRight w:val="0"/>
      <w:marTop w:val="0"/>
      <w:marBottom w:val="0"/>
      <w:divBdr>
        <w:top w:val="none" w:sz="0" w:space="0" w:color="auto"/>
        <w:left w:val="none" w:sz="0" w:space="0" w:color="auto"/>
        <w:bottom w:val="none" w:sz="0" w:space="0" w:color="auto"/>
        <w:right w:val="none" w:sz="0" w:space="0" w:color="auto"/>
      </w:divBdr>
    </w:div>
    <w:div w:id="408113042">
      <w:bodyDiv w:val="1"/>
      <w:marLeft w:val="0"/>
      <w:marRight w:val="0"/>
      <w:marTop w:val="0"/>
      <w:marBottom w:val="0"/>
      <w:divBdr>
        <w:top w:val="none" w:sz="0" w:space="0" w:color="auto"/>
        <w:left w:val="none" w:sz="0" w:space="0" w:color="auto"/>
        <w:bottom w:val="none" w:sz="0" w:space="0" w:color="auto"/>
        <w:right w:val="none" w:sz="0" w:space="0" w:color="auto"/>
      </w:divBdr>
    </w:div>
    <w:div w:id="545527492">
      <w:bodyDiv w:val="1"/>
      <w:marLeft w:val="0"/>
      <w:marRight w:val="0"/>
      <w:marTop w:val="0"/>
      <w:marBottom w:val="0"/>
      <w:divBdr>
        <w:top w:val="none" w:sz="0" w:space="0" w:color="auto"/>
        <w:left w:val="none" w:sz="0" w:space="0" w:color="auto"/>
        <w:bottom w:val="none" w:sz="0" w:space="0" w:color="auto"/>
        <w:right w:val="none" w:sz="0" w:space="0" w:color="auto"/>
      </w:divBdr>
    </w:div>
    <w:div w:id="587888750">
      <w:bodyDiv w:val="1"/>
      <w:marLeft w:val="0"/>
      <w:marRight w:val="0"/>
      <w:marTop w:val="0"/>
      <w:marBottom w:val="0"/>
      <w:divBdr>
        <w:top w:val="none" w:sz="0" w:space="0" w:color="auto"/>
        <w:left w:val="none" w:sz="0" w:space="0" w:color="auto"/>
        <w:bottom w:val="none" w:sz="0" w:space="0" w:color="auto"/>
        <w:right w:val="none" w:sz="0" w:space="0" w:color="auto"/>
      </w:divBdr>
    </w:div>
    <w:div w:id="640425632">
      <w:bodyDiv w:val="1"/>
      <w:marLeft w:val="0"/>
      <w:marRight w:val="0"/>
      <w:marTop w:val="0"/>
      <w:marBottom w:val="0"/>
      <w:divBdr>
        <w:top w:val="none" w:sz="0" w:space="0" w:color="auto"/>
        <w:left w:val="none" w:sz="0" w:space="0" w:color="auto"/>
        <w:bottom w:val="none" w:sz="0" w:space="0" w:color="auto"/>
        <w:right w:val="none" w:sz="0" w:space="0" w:color="auto"/>
      </w:divBdr>
    </w:div>
    <w:div w:id="689181381">
      <w:bodyDiv w:val="1"/>
      <w:marLeft w:val="0"/>
      <w:marRight w:val="0"/>
      <w:marTop w:val="0"/>
      <w:marBottom w:val="0"/>
      <w:divBdr>
        <w:top w:val="none" w:sz="0" w:space="0" w:color="auto"/>
        <w:left w:val="none" w:sz="0" w:space="0" w:color="auto"/>
        <w:bottom w:val="none" w:sz="0" w:space="0" w:color="auto"/>
        <w:right w:val="none" w:sz="0" w:space="0" w:color="auto"/>
      </w:divBdr>
    </w:div>
    <w:div w:id="728580730">
      <w:bodyDiv w:val="1"/>
      <w:marLeft w:val="0"/>
      <w:marRight w:val="0"/>
      <w:marTop w:val="0"/>
      <w:marBottom w:val="0"/>
      <w:divBdr>
        <w:top w:val="none" w:sz="0" w:space="0" w:color="auto"/>
        <w:left w:val="none" w:sz="0" w:space="0" w:color="auto"/>
        <w:bottom w:val="none" w:sz="0" w:space="0" w:color="auto"/>
        <w:right w:val="none" w:sz="0" w:space="0" w:color="auto"/>
      </w:divBdr>
    </w:div>
    <w:div w:id="785077287">
      <w:bodyDiv w:val="1"/>
      <w:marLeft w:val="0"/>
      <w:marRight w:val="0"/>
      <w:marTop w:val="0"/>
      <w:marBottom w:val="0"/>
      <w:divBdr>
        <w:top w:val="none" w:sz="0" w:space="0" w:color="auto"/>
        <w:left w:val="none" w:sz="0" w:space="0" w:color="auto"/>
        <w:bottom w:val="none" w:sz="0" w:space="0" w:color="auto"/>
        <w:right w:val="none" w:sz="0" w:space="0" w:color="auto"/>
      </w:divBdr>
    </w:div>
    <w:div w:id="785539347">
      <w:bodyDiv w:val="1"/>
      <w:marLeft w:val="0"/>
      <w:marRight w:val="0"/>
      <w:marTop w:val="0"/>
      <w:marBottom w:val="0"/>
      <w:divBdr>
        <w:top w:val="none" w:sz="0" w:space="0" w:color="auto"/>
        <w:left w:val="none" w:sz="0" w:space="0" w:color="auto"/>
        <w:bottom w:val="none" w:sz="0" w:space="0" w:color="auto"/>
        <w:right w:val="none" w:sz="0" w:space="0" w:color="auto"/>
      </w:divBdr>
    </w:div>
    <w:div w:id="797261373">
      <w:bodyDiv w:val="1"/>
      <w:marLeft w:val="0"/>
      <w:marRight w:val="0"/>
      <w:marTop w:val="0"/>
      <w:marBottom w:val="0"/>
      <w:divBdr>
        <w:top w:val="none" w:sz="0" w:space="0" w:color="auto"/>
        <w:left w:val="none" w:sz="0" w:space="0" w:color="auto"/>
        <w:bottom w:val="none" w:sz="0" w:space="0" w:color="auto"/>
        <w:right w:val="none" w:sz="0" w:space="0" w:color="auto"/>
      </w:divBdr>
    </w:div>
    <w:div w:id="803961223">
      <w:bodyDiv w:val="1"/>
      <w:marLeft w:val="0"/>
      <w:marRight w:val="0"/>
      <w:marTop w:val="0"/>
      <w:marBottom w:val="0"/>
      <w:divBdr>
        <w:top w:val="none" w:sz="0" w:space="0" w:color="auto"/>
        <w:left w:val="none" w:sz="0" w:space="0" w:color="auto"/>
        <w:bottom w:val="none" w:sz="0" w:space="0" w:color="auto"/>
        <w:right w:val="none" w:sz="0" w:space="0" w:color="auto"/>
      </w:divBdr>
    </w:div>
    <w:div w:id="871647173">
      <w:bodyDiv w:val="1"/>
      <w:marLeft w:val="0"/>
      <w:marRight w:val="0"/>
      <w:marTop w:val="0"/>
      <w:marBottom w:val="0"/>
      <w:divBdr>
        <w:top w:val="none" w:sz="0" w:space="0" w:color="auto"/>
        <w:left w:val="none" w:sz="0" w:space="0" w:color="auto"/>
        <w:bottom w:val="none" w:sz="0" w:space="0" w:color="auto"/>
        <w:right w:val="none" w:sz="0" w:space="0" w:color="auto"/>
      </w:divBdr>
    </w:div>
    <w:div w:id="935670051">
      <w:bodyDiv w:val="1"/>
      <w:marLeft w:val="0"/>
      <w:marRight w:val="0"/>
      <w:marTop w:val="0"/>
      <w:marBottom w:val="0"/>
      <w:divBdr>
        <w:top w:val="none" w:sz="0" w:space="0" w:color="auto"/>
        <w:left w:val="none" w:sz="0" w:space="0" w:color="auto"/>
        <w:bottom w:val="none" w:sz="0" w:space="0" w:color="auto"/>
        <w:right w:val="none" w:sz="0" w:space="0" w:color="auto"/>
      </w:divBdr>
    </w:div>
    <w:div w:id="990644608">
      <w:bodyDiv w:val="1"/>
      <w:marLeft w:val="0"/>
      <w:marRight w:val="0"/>
      <w:marTop w:val="0"/>
      <w:marBottom w:val="0"/>
      <w:divBdr>
        <w:top w:val="none" w:sz="0" w:space="0" w:color="auto"/>
        <w:left w:val="none" w:sz="0" w:space="0" w:color="auto"/>
        <w:bottom w:val="none" w:sz="0" w:space="0" w:color="auto"/>
        <w:right w:val="none" w:sz="0" w:space="0" w:color="auto"/>
      </w:divBdr>
    </w:div>
    <w:div w:id="1028532743">
      <w:bodyDiv w:val="1"/>
      <w:marLeft w:val="0"/>
      <w:marRight w:val="0"/>
      <w:marTop w:val="0"/>
      <w:marBottom w:val="0"/>
      <w:divBdr>
        <w:top w:val="none" w:sz="0" w:space="0" w:color="auto"/>
        <w:left w:val="none" w:sz="0" w:space="0" w:color="auto"/>
        <w:bottom w:val="none" w:sz="0" w:space="0" w:color="auto"/>
        <w:right w:val="none" w:sz="0" w:space="0" w:color="auto"/>
      </w:divBdr>
    </w:div>
    <w:div w:id="1070467827">
      <w:bodyDiv w:val="1"/>
      <w:marLeft w:val="0"/>
      <w:marRight w:val="0"/>
      <w:marTop w:val="0"/>
      <w:marBottom w:val="0"/>
      <w:divBdr>
        <w:top w:val="none" w:sz="0" w:space="0" w:color="auto"/>
        <w:left w:val="none" w:sz="0" w:space="0" w:color="auto"/>
        <w:bottom w:val="none" w:sz="0" w:space="0" w:color="auto"/>
        <w:right w:val="none" w:sz="0" w:space="0" w:color="auto"/>
      </w:divBdr>
    </w:div>
    <w:div w:id="1072041007">
      <w:bodyDiv w:val="1"/>
      <w:marLeft w:val="0"/>
      <w:marRight w:val="0"/>
      <w:marTop w:val="0"/>
      <w:marBottom w:val="0"/>
      <w:divBdr>
        <w:top w:val="none" w:sz="0" w:space="0" w:color="auto"/>
        <w:left w:val="none" w:sz="0" w:space="0" w:color="auto"/>
        <w:bottom w:val="none" w:sz="0" w:space="0" w:color="auto"/>
        <w:right w:val="none" w:sz="0" w:space="0" w:color="auto"/>
      </w:divBdr>
    </w:div>
    <w:div w:id="1109272940">
      <w:bodyDiv w:val="1"/>
      <w:marLeft w:val="0"/>
      <w:marRight w:val="0"/>
      <w:marTop w:val="0"/>
      <w:marBottom w:val="0"/>
      <w:divBdr>
        <w:top w:val="none" w:sz="0" w:space="0" w:color="auto"/>
        <w:left w:val="none" w:sz="0" w:space="0" w:color="auto"/>
        <w:bottom w:val="none" w:sz="0" w:space="0" w:color="auto"/>
        <w:right w:val="none" w:sz="0" w:space="0" w:color="auto"/>
      </w:divBdr>
    </w:div>
    <w:div w:id="1162545455">
      <w:bodyDiv w:val="1"/>
      <w:marLeft w:val="0"/>
      <w:marRight w:val="0"/>
      <w:marTop w:val="0"/>
      <w:marBottom w:val="0"/>
      <w:divBdr>
        <w:top w:val="none" w:sz="0" w:space="0" w:color="auto"/>
        <w:left w:val="none" w:sz="0" w:space="0" w:color="auto"/>
        <w:bottom w:val="none" w:sz="0" w:space="0" w:color="auto"/>
        <w:right w:val="none" w:sz="0" w:space="0" w:color="auto"/>
      </w:divBdr>
    </w:div>
    <w:div w:id="1259020351">
      <w:bodyDiv w:val="1"/>
      <w:marLeft w:val="0"/>
      <w:marRight w:val="0"/>
      <w:marTop w:val="0"/>
      <w:marBottom w:val="0"/>
      <w:divBdr>
        <w:top w:val="none" w:sz="0" w:space="0" w:color="auto"/>
        <w:left w:val="none" w:sz="0" w:space="0" w:color="auto"/>
        <w:bottom w:val="none" w:sz="0" w:space="0" w:color="auto"/>
        <w:right w:val="none" w:sz="0" w:space="0" w:color="auto"/>
      </w:divBdr>
    </w:div>
    <w:div w:id="1459759597">
      <w:bodyDiv w:val="1"/>
      <w:marLeft w:val="0"/>
      <w:marRight w:val="0"/>
      <w:marTop w:val="0"/>
      <w:marBottom w:val="0"/>
      <w:divBdr>
        <w:top w:val="none" w:sz="0" w:space="0" w:color="auto"/>
        <w:left w:val="none" w:sz="0" w:space="0" w:color="auto"/>
        <w:bottom w:val="none" w:sz="0" w:space="0" w:color="auto"/>
        <w:right w:val="none" w:sz="0" w:space="0" w:color="auto"/>
      </w:divBdr>
    </w:div>
    <w:div w:id="1468086152">
      <w:bodyDiv w:val="1"/>
      <w:marLeft w:val="0"/>
      <w:marRight w:val="0"/>
      <w:marTop w:val="0"/>
      <w:marBottom w:val="0"/>
      <w:divBdr>
        <w:top w:val="none" w:sz="0" w:space="0" w:color="auto"/>
        <w:left w:val="none" w:sz="0" w:space="0" w:color="auto"/>
        <w:bottom w:val="none" w:sz="0" w:space="0" w:color="auto"/>
        <w:right w:val="none" w:sz="0" w:space="0" w:color="auto"/>
      </w:divBdr>
    </w:div>
    <w:div w:id="1519469910">
      <w:bodyDiv w:val="1"/>
      <w:marLeft w:val="0"/>
      <w:marRight w:val="0"/>
      <w:marTop w:val="0"/>
      <w:marBottom w:val="0"/>
      <w:divBdr>
        <w:top w:val="none" w:sz="0" w:space="0" w:color="auto"/>
        <w:left w:val="none" w:sz="0" w:space="0" w:color="auto"/>
        <w:bottom w:val="none" w:sz="0" w:space="0" w:color="auto"/>
        <w:right w:val="none" w:sz="0" w:space="0" w:color="auto"/>
      </w:divBdr>
    </w:div>
    <w:div w:id="1575161374">
      <w:bodyDiv w:val="1"/>
      <w:marLeft w:val="0"/>
      <w:marRight w:val="0"/>
      <w:marTop w:val="0"/>
      <w:marBottom w:val="0"/>
      <w:divBdr>
        <w:top w:val="none" w:sz="0" w:space="0" w:color="auto"/>
        <w:left w:val="none" w:sz="0" w:space="0" w:color="auto"/>
        <w:bottom w:val="none" w:sz="0" w:space="0" w:color="auto"/>
        <w:right w:val="none" w:sz="0" w:space="0" w:color="auto"/>
      </w:divBdr>
    </w:div>
    <w:div w:id="1629243707">
      <w:bodyDiv w:val="1"/>
      <w:marLeft w:val="0"/>
      <w:marRight w:val="0"/>
      <w:marTop w:val="0"/>
      <w:marBottom w:val="0"/>
      <w:divBdr>
        <w:top w:val="none" w:sz="0" w:space="0" w:color="auto"/>
        <w:left w:val="none" w:sz="0" w:space="0" w:color="auto"/>
        <w:bottom w:val="none" w:sz="0" w:space="0" w:color="auto"/>
        <w:right w:val="none" w:sz="0" w:space="0" w:color="auto"/>
      </w:divBdr>
    </w:div>
    <w:div w:id="1653362527">
      <w:bodyDiv w:val="1"/>
      <w:marLeft w:val="0"/>
      <w:marRight w:val="0"/>
      <w:marTop w:val="0"/>
      <w:marBottom w:val="0"/>
      <w:divBdr>
        <w:top w:val="none" w:sz="0" w:space="0" w:color="auto"/>
        <w:left w:val="none" w:sz="0" w:space="0" w:color="auto"/>
        <w:bottom w:val="none" w:sz="0" w:space="0" w:color="auto"/>
        <w:right w:val="none" w:sz="0" w:space="0" w:color="auto"/>
      </w:divBdr>
    </w:div>
    <w:div w:id="1717199803">
      <w:bodyDiv w:val="1"/>
      <w:marLeft w:val="0"/>
      <w:marRight w:val="0"/>
      <w:marTop w:val="0"/>
      <w:marBottom w:val="0"/>
      <w:divBdr>
        <w:top w:val="none" w:sz="0" w:space="0" w:color="auto"/>
        <w:left w:val="none" w:sz="0" w:space="0" w:color="auto"/>
        <w:bottom w:val="none" w:sz="0" w:space="0" w:color="auto"/>
        <w:right w:val="none" w:sz="0" w:space="0" w:color="auto"/>
      </w:divBdr>
    </w:div>
    <w:div w:id="1754010287">
      <w:bodyDiv w:val="1"/>
      <w:marLeft w:val="0"/>
      <w:marRight w:val="0"/>
      <w:marTop w:val="0"/>
      <w:marBottom w:val="0"/>
      <w:divBdr>
        <w:top w:val="none" w:sz="0" w:space="0" w:color="auto"/>
        <w:left w:val="none" w:sz="0" w:space="0" w:color="auto"/>
        <w:bottom w:val="none" w:sz="0" w:space="0" w:color="auto"/>
        <w:right w:val="none" w:sz="0" w:space="0" w:color="auto"/>
      </w:divBdr>
    </w:div>
    <w:div w:id="1781947318">
      <w:bodyDiv w:val="1"/>
      <w:marLeft w:val="0"/>
      <w:marRight w:val="0"/>
      <w:marTop w:val="0"/>
      <w:marBottom w:val="0"/>
      <w:divBdr>
        <w:top w:val="none" w:sz="0" w:space="0" w:color="auto"/>
        <w:left w:val="none" w:sz="0" w:space="0" w:color="auto"/>
        <w:bottom w:val="none" w:sz="0" w:space="0" w:color="auto"/>
        <w:right w:val="none" w:sz="0" w:space="0" w:color="auto"/>
      </w:divBdr>
    </w:div>
    <w:div w:id="1796868863">
      <w:bodyDiv w:val="1"/>
      <w:marLeft w:val="0"/>
      <w:marRight w:val="0"/>
      <w:marTop w:val="0"/>
      <w:marBottom w:val="0"/>
      <w:divBdr>
        <w:top w:val="none" w:sz="0" w:space="0" w:color="auto"/>
        <w:left w:val="none" w:sz="0" w:space="0" w:color="auto"/>
        <w:bottom w:val="none" w:sz="0" w:space="0" w:color="auto"/>
        <w:right w:val="none" w:sz="0" w:space="0" w:color="auto"/>
      </w:divBdr>
    </w:div>
    <w:div w:id="1801875597">
      <w:bodyDiv w:val="1"/>
      <w:marLeft w:val="0"/>
      <w:marRight w:val="0"/>
      <w:marTop w:val="0"/>
      <w:marBottom w:val="0"/>
      <w:divBdr>
        <w:top w:val="none" w:sz="0" w:space="0" w:color="auto"/>
        <w:left w:val="none" w:sz="0" w:space="0" w:color="auto"/>
        <w:bottom w:val="none" w:sz="0" w:space="0" w:color="auto"/>
        <w:right w:val="none" w:sz="0" w:space="0" w:color="auto"/>
      </w:divBdr>
    </w:div>
    <w:div w:id="1836266568">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9001191">
      <w:bodyDiv w:val="1"/>
      <w:marLeft w:val="0"/>
      <w:marRight w:val="0"/>
      <w:marTop w:val="0"/>
      <w:marBottom w:val="0"/>
      <w:divBdr>
        <w:top w:val="none" w:sz="0" w:space="0" w:color="auto"/>
        <w:left w:val="none" w:sz="0" w:space="0" w:color="auto"/>
        <w:bottom w:val="none" w:sz="0" w:space="0" w:color="auto"/>
        <w:right w:val="none" w:sz="0" w:space="0" w:color="auto"/>
      </w:divBdr>
    </w:div>
    <w:div w:id="19544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Cueto, Cleo B</dc:creator>
  <cp:lastModifiedBy>Cueto, Cleo B</cp:lastModifiedBy>
  <cp:revision>22</cp:revision>
  <cp:lastPrinted>2017-01-26T19:06:00Z</cp:lastPrinted>
  <dcterms:created xsi:type="dcterms:W3CDTF">2017-01-19T18:18:00Z</dcterms:created>
  <dcterms:modified xsi:type="dcterms:W3CDTF">2017-01-27T17:23:00Z</dcterms:modified>
</cp:coreProperties>
</file>